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Detection of Su(Fu) in prostate cancer specimens. Su(Fu) antibodies (Santa Cruz Biotechnology Cat# 10933) recognized only one single band (54-Kd) in D283 cells (A). Following treatment of a specific SiRNA of Su(Fu), the endogenous Su(Fu) band was greatly reduced (B). Immunohistostaining with Su(Fu) antibodies in prostate cancer specimens revealed positive (C, in red, 200×), negative (D, 200×) or weak staining (E, red, 200×).</w:t>
        <w:br/>
      </w:r>
    </w:p>
    <w:p>
      <w:r>
        <w:t xml:space="preserve">Question:  What happens to the endogenous Su(Fu) band after treatment with specific SiRNA? </w:t>
        <w:br/>
        <w:t xml:space="preserve"> </w:t>
        <w:br/>
        <w:t xml:space="preserve">A: It increases. </w:t>
        <w:br/>
        <w:t xml:space="preserve">B: It remains the same. </w:t>
        <w:br/>
        <w:t xml:space="preserve">C: It decreases. </w:t>
        <w:br/>
        <w:t xml:space="preserve">D: It disappears. </w:t>
        <w:br/>
      </w:r>
    </w:p>
    <w:p>
      <w:r>
        <w:t xml:space="preserve">Answer:  C: It decreases.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