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Kc167 Cells Exposed to dsRNA Targeting Act5C or to Cytochalasin DThe cells were exposed to dsRNA targeting Act5C for 4 d (A) or to cytochalasin D at 5 μM for 48 h (B). Tubulin is shown in red, DNA in green.</w:t>
        <w:br/>
      </w:r>
    </w:p>
    <w:p>
      <w:r>
        <w:t>Question: What was the purpose of exposing Kc167 cells to dsRNA targeting Act5C or to cytochalasin D?</w:t>
        <w:br/>
        <w:t xml:space="preserve"> </w:t>
        <w:br/>
        <w:t xml:space="preserve">A: To induce apoptosis. </w:t>
        <w:br/>
        <w:t xml:space="preserve">B: To cause cell cycle arrest. </w:t>
        <w:br/>
        <w:t xml:space="preserve">C: To observe changes in the cytoskeleton. </w:t>
        <w:br/>
        <w:t>D: To study cellular respiration.</w:t>
        <w:br/>
      </w:r>
    </w:p>
    <w:p>
      <w:r>
        <w:t xml:space="preserve">Answer:  To observe changes in the cytoskeleton.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