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Radiological improvement with IFN gamma treatment (ray-x of two patients are shown). Patient 4 (A), left-lung fibroexudative lesions, and (B) complete resolution after IFN gamma treatment. Patient 2 (C), bilateral moderate exudative lesions before IFN gamma treatment, and (D) important improvement of the lesions afterwards.</w:t>
        <w:br/>
      </w:r>
    </w:p>
    <w:p>
      <w:r>
        <w:t xml:space="preserve">Question:  Which patient showed complete resolution of lesions after IFN gamma treatment? </w:t>
        <w:br/>
        <w:t xml:space="preserve"> </w:t>
        <w:br/>
        <w:t xml:space="preserve">A: Patient 2  </w:t>
        <w:br/>
        <w:t xml:space="preserve">B: Patient 4  </w:t>
        <w:br/>
        <w:t xml:space="preserve">C: Both patients  </w:t>
        <w:br/>
        <w:t xml:space="preserve">D: None of the patients. </w:t>
        <w:br/>
      </w:r>
    </w:p>
    <w:p>
      <w:r>
        <w:t xml:space="preserve">Answer:  B: Patient 4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