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Radiological improvement with IFN gamma treatment (ray-x of two patients are shown). Patient 4 (A), left-lung fibroexudative lesions, and (B) complete resolution after IFN gamma treatment. Patient 2 (C), bilateral moderate exudative lesions before IFN gamma treatment, and (D) important improvement of the lesions afterwards.</w:t>
        <w:br/>
      </w:r>
    </w:p>
    <w:p>
      <w:r>
        <w:t xml:space="preserve">Question:  What was the extent of the lesions in patient 2 before IFN gamma treatment? </w:t>
        <w:br/>
        <w:t xml:space="preserve"> </w:t>
        <w:br/>
        <w:t xml:space="preserve">A: Complete resolution lesions  </w:t>
        <w:br/>
        <w:t xml:space="preserve">B: Right-lung fibroexudative lesions  </w:t>
        <w:br/>
        <w:t xml:space="preserve">C: Bilateral moderate exudative lesions  </w:t>
        <w:br/>
        <w:t xml:space="preserve">D: Left-lung fibroexudative lesions. </w:t>
        <w:br/>
      </w:r>
    </w:p>
    <w:p>
      <w:r>
        <w:t xml:space="preserve">Answer:  C: Bilateral moderate exudative lesions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