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Radiological improvement with IFN gamma treatment (ray-x of two patients are shown). Patient 4 (A), left-lung fibroexudative lesions, and (B) complete resolution after IFN gamma treatment. Patient 2 (C), bilateral moderate exudative lesions before IFN gamma treatment, and (D) important improvement of the lesions afterwards.</w:t>
        <w:br/>
      </w:r>
    </w:p>
    <w:p>
      <w:r>
        <w:t xml:space="preserve">Question:  Did IFN gamma treatment show any improvement in patient 2's lesions? </w:t>
        <w:br/>
        <w:t xml:space="preserve"> </w:t>
        <w:br/>
        <w:t xml:space="preserve">A: Yes, complete resolution of lesions.  </w:t>
        <w:br/>
        <w:t xml:space="preserve">B: No improvement observed.  </w:t>
        <w:br/>
        <w:t xml:space="preserve">C: Right-lung fibroexudative lesion worsened.  </w:t>
        <w:br/>
        <w:t xml:space="preserve">D: Important improvement observed.  </w:t>
        <w:br/>
      </w:r>
    </w:p>
    <w:p>
      <w:r>
        <w:t xml:space="preserve">Answer:  D: Important improvement observed.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