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Doxycycline and tTA-Dependent FCIP ExpressionImmunohistochemical assay (A–F) using rabbit polyclonal GFP antibodies/peroxidase-DAB system: (A) YC3.12, single-positive (MTH-YC3.12-7), double-positive (MTH-YC3.12-7, αCamKII-tTA), and Dox-treated double-positive (MTH-YC3.12-7, αCamKII-tTA).(B) Cg2, single-positive (MTH-Cg2-7) and doubles-positive (MTH-Cg2-7, αCamKII-tTA).(C) IP, single-positive (MTH-IP-12) and double-positive (MTH-IP-12, αCamKII-tTA).(D) Moderate-expression line of Cg2 (MTH-Cg2-14, αCamKII-tTA).(E) Low-expression line (MTH-Cg2-15, αCamKII-tTA).(F) FCIP distribution in various brain areas.(G) Fluorescence in fixed brain slices from the accessory and the main olfactory bulb.(H–K) Two-photon images of acute, living brain slices. (H) Neurons in both CA1 and striatum usually show nuclear exclusion. (I) punctate expression in low-expressing lines (also see Figure 2B, open circles); example from CA1 and cortex. Maximum intensity projection of two-photon 3D stacks taken from a brain slice (J) and a whole-mount retina (K).</w:t>
        <w:br/>
      </w:r>
    </w:p>
    <w:p>
      <w:r>
        <w:t xml:space="preserve">Question:  What type of antibodies were used in the Immunohistochemical assay? </w:t>
        <w:br/>
        <w:t xml:space="preserve"> </w:t>
        <w:br/>
        <w:t xml:space="preserve">A: GFP antibodies </w:t>
        <w:br/>
        <w:t xml:space="preserve">B: Rabbit antibodies </w:t>
        <w:br/>
        <w:t xml:space="preserve">C: Polyclonal antibodies </w:t>
        <w:br/>
        <w:t xml:space="preserve">D: Peroxidase antibodies </w:t>
        <w:br/>
      </w:r>
    </w:p>
    <w:p>
      <w:r>
        <w:t>Answer:  A: GFP antibodies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