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Doxycycline and tTA-Dependent FCIP ExpressionImmunohistochemical assay (A–F) using rabbit polyclonal GFP antibodies/peroxidase-DAB system: (A) YC3.12, single-positive (MTH-YC3.12-7), double-positive (MTH-YC3.12-7, αCamKII-tTA), and Dox-treated double-positive (MTH-YC3.12-7, αCamKII-tTA).(B) Cg2, single-positive (MTH-Cg2-7) and doubles-positive (MTH-Cg2-7, αCamKII-tTA).(C) IP, single-positive (MTH-IP-12) and double-positive (MTH-IP-12, αCamKII-tTA).(D) Moderate-expression line of Cg2 (MTH-Cg2-14, αCamKII-tTA).(E) Low-expression line (MTH-Cg2-15, αCamKII-tTA).(F) FCIP distribution in various brain areas.(G) Fluorescence in fixed brain slices from the accessory and the main olfactory bulb.(H–K) Two-photon images of acute, living brain slices. (H) Neurons in both CA1 and striatum usually show nuclear exclusion. (I) punctate expression in low-expressing lines (also see Figure 2B, open circles); example from CA1 and cortex. Maximum intensity projection of two-photon 3D stacks taken from a brain slice (J) and a whole-mount retina (K).</w:t>
        <w:br/>
      </w:r>
    </w:p>
    <w:p>
      <w:r>
        <w:t xml:space="preserve">Question:  Which lines showed punctate expression in CA1 and cortex? </w:t>
        <w:br/>
        <w:t xml:space="preserve"> </w:t>
        <w:br/>
        <w:t xml:space="preserve">A: High-expressing lines </w:t>
        <w:br/>
        <w:t xml:space="preserve">B: Medium-expressing lines </w:t>
        <w:br/>
        <w:t xml:space="preserve">C: Low-expressing lines </w:t>
        <w:br/>
        <w:t xml:space="preserve">D: All lines </w:t>
        <w:br/>
      </w:r>
    </w:p>
    <w:p>
      <w:r>
        <w:t>Answer:  C: Low-expressing lines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