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Doxycycline and tTA-Dependent FCIP ExpressionImmunohistochemical assay (A–F) using rabbit polyclonal GFP antibodies/peroxidase-DAB system: (A) YC3.12, single-positive (MTH-YC3.12-7), double-positive (MTH-YC3.12-7, αCamKII-tTA), and Dox-treated double-positive (MTH-YC3.12-7, αCamKII-tTA).(B) Cg2, single-positive (MTH-Cg2-7) and doubles-positive (MTH-Cg2-7, αCamKII-tTA).(C) IP, single-positive (MTH-IP-12) and double-positive (MTH-IP-12, αCamKII-tTA).(D) Moderate-expression line of Cg2 (MTH-Cg2-14, αCamKII-tTA).(E) Low-expression line (MTH-Cg2-15, αCamKII-tTA).(F) FCIP distribution in various brain areas.(G) Fluorescence in fixed brain slices from the accessory and the main olfactory bulb.(H–K) Two-photon images of acute, living brain slices. (H) Neurons in both CA1 and striatum usually show nuclear exclusion. (I) punctate expression in low-expressing lines (also see Figure 2B, open circles); example from CA1 and cortex. Maximum intensity projection of two-photon 3D stacks taken from a brain slice (J) and a whole-mount retina (K).</w:t>
        <w:br/>
      </w:r>
    </w:p>
    <w:p>
      <w:r>
        <w:t xml:space="preserve">Question:  Which brain areas were shown to have FCIP distribution? </w:t>
        <w:br/>
        <w:t xml:space="preserve"> </w:t>
        <w:br/>
        <w:t xml:space="preserve">A: Accessory olfactory bulb </w:t>
        <w:br/>
        <w:t xml:space="preserve">B: CA1 and striatum </w:t>
        <w:br/>
        <w:t xml:space="preserve">C: Main olfactory bulb </w:t>
        <w:br/>
        <w:t xml:space="preserve">D: Cortex and retina </w:t>
        <w:br/>
      </w:r>
    </w:p>
    <w:p>
      <w:r>
        <w:t>Answer:  C: Main olfactory bulb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