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Immunostaining of NFκB protein in stroma (S), glandular epithelium (GE), squamous epithelium (SQ) and vessels (V) in cervical biopsies from the NP (left column, a, d, g, j), TP (middle column, b, e, h) and PP (right column, c, f, i, l) groups. Positive nuclear and cytoplasmic immunostaining is also observed in neuronal ganglions (G) (h). Some leukocytes, identified by their morphology, display positive NFκB staining (l, black arrowhead). A negative control where the primary antibody is replaced by rabbit IgG is shown in k.</w:t>
        <w:br/>
      </w:r>
    </w:p>
    <w:p>
      <w:r>
        <w:t xml:space="preserve">Question:  What is observed in neuronal ganglions? </w:t>
        <w:br/>
        <w:t xml:space="preserve"> </w:t>
        <w:br/>
        <w:t xml:space="preserve">A:Positive nuclear staining </w:t>
        <w:br/>
        <w:t xml:space="preserve">B:Positive cytoplasmic staining </w:t>
        <w:br/>
        <w:t xml:space="preserve">C:Positive nuclear and cytoplasmic staining </w:t>
        <w:br/>
        <w:t xml:space="preserve">D:Negative staining </w:t>
        <w:br/>
      </w:r>
    </w:p>
    <w:p>
      <w:r>
        <w:t>Answer:  C:Positive nuclear and cytoplasmic staining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