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Doxycycline and tTA-Dependent FCIP ExpressionImmunohistochemical assay (A–F) using rabbit polyclonal GFP antibodies/peroxidase-DAB system: (A) YC3.12, single-positive (MTH-YC3.12-7), double-positive (MTH-YC3.12-7, αCamKII-tTA), and Dox-treated double-positive (MTH-YC3.12-7, αCamKII-tTA).(B) Cg2, single-positive (MTH-Cg2-7) and doubles-positive (MTH-Cg2-7, αCamKII-tTA).(C) IP, single-positive (MTH-IP-12) and double-positive (MTH-IP-12, αCamKII-tTA).(D) Moderate-expression line of Cg2 (MTH-Cg2-14, αCamKII-tTA).(E) Low-expression line (MTH-Cg2-15, αCamKII-tTA).(F) FCIP distribution in various brain areas.(G) Fluorescence in fixed brain slices from the accessory and the main olfactory bulb.(H–K) Two-photon images of acute, living brain slices. (H) Neurons in both CA1 and striatum usually show nuclear exclusion. (I) punctate expression in low-expressing lines (also see Figure 2B, open circles); example from CA1 and cortex. Maximum intensity projection of two-photon 3D stacks taken from a brain slice (J) and a whole-mount retina (K).</w:t>
        <w:br/>
      </w:r>
    </w:p>
    <w:p>
      <w:r>
        <w:t xml:space="preserve">Question:  Which brain slices were used for the two-photon imaging? </w:t>
        <w:br/>
        <w:t xml:space="preserve"> </w:t>
        <w:br/>
        <w:t xml:space="preserve">A: Fixed brain slices from the accessory olfactory bulb </w:t>
        <w:br/>
        <w:t xml:space="preserve">B: Fixed brain slices from the main olfactory bulb </w:t>
        <w:br/>
        <w:t xml:space="preserve">C: Acute, living brain slices from the CA1 and striatum </w:t>
        <w:br/>
        <w:t xml:space="preserve">D: Whole-mount retina </w:t>
        <w:br/>
      </w:r>
    </w:p>
    <w:p>
      <w:r>
        <w:t>Answer:  C: Acute, living brain slices from the CA1 and striatum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