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Coronal T2-weighted MRI reveals a slightly hyperintense fusiforme tumorous lesion of the median nerve approximately 5 cm above the right elbow (arrows).</w:t>
        <w:br/>
      </w:r>
    </w:p>
    <w:p>
      <w:r>
        <w:t xml:space="preserve">Question: Which nerve is affected by the tumorous lesion seen on the MRI image? </w:t>
        <w:br/>
        <w:t xml:space="preserve"> </w:t>
        <w:br/>
        <w:t xml:space="preserve">A:Ulnar nerve </w:t>
        <w:br/>
        <w:t xml:space="preserve">B:Radial nerve </w:t>
        <w:br/>
        <w:t xml:space="preserve">C:Median nerve </w:t>
        <w:br/>
        <w:t xml:space="preserve">D:Femoral nerve </w:t>
        <w:br/>
      </w:r>
    </w:p>
    <w:p>
      <w:r>
        <w:t xml:space="preserve">Answer:  Median nerve.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