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Immunohistochemistry for extracellular matrix components. Immunohistochemical staining of wild type (A, C, E, G, I, K, M, O, P, Q, S) and IL11Ra-/- (B, D, F, H, J, L, N, R, T) uterus at 48 h of decidualization using specific antibodies for collagen III (A, B, C, D), biglycan (E, F, G, H), nidogen-1 (I, J, K, L), SPARC (M, N, O, P) and desmin (Q, R, S, T). Negative controls using a matching concentration of non-immune IgG (collagen III, nidogen-1, SPARC and desmin) or normal serum (biglycan) in place of the primary antibody are inset in A, B, E, F, I, J, M, N, Q and R. Black squares on A and B indicate the antimesometrial pole magnified in C and D. Abbreviations: connective tissue (ct), myometrium (my), mesometrial pole (m), antimesometrial pole (am), luminal epithelium (le), glandular epithelium (ge), decidualized stromal cell (dsc), non-decidualized stromal cell (sc), blood vessel (bv), glycocalyx (gly). Scale bar = 50 μm (A, B, E, F, I, J, M, N, Q and R are at the same magnification; C, D, G and P are at the same magnification; H, K, L, O, S, T and inset in G are at the same magnification).</w:t>
        <w:br/>
      </w:r>
    </w:p>
    <w:p>
      <w:r>
        <w:t xml:space="preserve">Question:  Which antibodies were used in the experiment? </w:t>
        <w:br/>
        <w:t xml:space="preserve"> </w:t>
        <w:br/>
        <w:t xml:space="preserve">A: Antibodies for collagen III, biglycan, and nidogen-1. </w:t>
        <w:br/>
        <w:t xml:space="preserve">B: Antibodies for SPARC and desmin. </w:t>
        <w:br/>
        <w:t xml:space="preserve">C: Both A and B. </w:t>
        <w:br/>
        <w:t xml:space="preserve">D: Antibodies for collagen V and laminin. </w:t>
        <w:br/>
      </w:r>
    </w:p>
    <w:p>
      <w:r>
        <w:t>Answer:  C: Both A and B.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