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Immunohistochemistry for extracellular matrix components. Immunohistochemical staining of wild type (A, C, E, G, I, K, M, O, P, Q, S) and IL11Ra-/- (B, D, F, H, J, L, N, R, T) uterus at 48 h of decidualization using specific antibodies for collagen III (A, B, C, D), biglycan (E, F, G, H), nidogen-1 (I, J, K, L), SPARC (M, N, O, P) and desmin (Q, R, S, T). Negative controls using a matching concentration of non-immune IgG (collagen III, nidogen-1, SPARC and desmin) or normal serum (biglycan) in place of the primary antibody are inset in A, B, E, F, I, J, M, N, Q and R. Black squares on A and B indicate the antimesometrial pole magnified in C and D. Abbreviations: connective tissue (ct), myometrium (my), mesometrial pole (m), antimesometrial pole (am), luminal epithelium (le), glandular epithelium (ge), decidualized stromal cell (dsc), non-decidualized stromal cell (sc), blood vessel (bv), glycocalyx (gly). Scale bar = 50 μm (A, B, E, F, I, J, M, N, Q and R are at the same magnification; C, D, G and P are at the same magnification; H, K, L, O, S, T and inset in G are at the same magnification).</w:t>
        <w:br/>
      </w:r>
    </w:p>
    <w:p>
      <w:r>
        <w:t xml:space="preserve">Question:  What is the purpose of the negative controls? </w:t>
        <w:br/>
        <w:t xml:space="preserve"> </w:t>
        <w:br/>
        <w:t xml:space="preserve">A: Validate the results of the experiment. </w:t>
        <w:br/>
        <w:t xml:space="preserve">B: Compare the results of the wild-type and IL11Ra-/- mice. </w:t>
        <w:br/>
        <w:t xml:space="preserve">C: Confirm the specificity of the primary antibodies. </w:t>
        <w:br/>
        <w:t xml:space="preserve">D: Study the glycocalyx in the uterus. </w:t>
        <w:br/>
      </w:r>
    </w:p>
    <w:p>
      <w:r>
        <w:t>Answer:  C: Confirm the specificity of the primary antibodies.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