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Immunohistochemistry for extracellular matrix components. Immunohistochemical staining of wild type (A, C, E, G, I, K, M, O, P, Q, S) and IL11Ra-/- (B, D, F, H, J, L, N, R, T) uterus at 48 h of decidualization using specific antibodies for collagen III (A, B, C, D), biglycan (E, F, G, H), nidogen-1 (I, J, K, L), SPARC (M, N, O, P) and desmin (Q, R, S, T). Negative controls using a matching concentration of non-immune IgG (collagen III, nidogen-1, SPARC and desmin) or normal serum (biglycan) in place of the primary antibody are inset in A, B, E, F, I, J, M, N, Q and R. Black squares on A and B indicate the antimesometrial pole magnified in C and D. Abbreviations: connective tissue (ct), myometrium (my), mesometrial pole (m), antimesometrial pole (am), luminal epithelium (le), glandular epithelium (ge), decidualized stromal cell (dsc), non-decidualized stromal cell (sc), blood vessel (bv), glycocalyx (gly). Scale bar = 50 μm (A, B, E, F, I, J, M, N, Q and R are at the same magnification; C, D, G and P are at the same magnification; H, K, L, O, S, T and inset in G are at the same magnification).</w:t>
        <w:br/>
      </w:r>
    </w:p>
    <w:p>
      <w:r>
        <w:t xml:space="preserve">Question:  What is the function of biglycan in the extracellular matrix? </w:t>
        <w:br/>
        <w:t xml:space="preserve"> </w:t>
        <w:br/>
        <w:t xml:space="preserve">A: Provides structural support. </w:t>
        <w:br/>
        <w:t xml:space="preserve">B: Regulates cell signaling. </w:t>
        <w:br/>
        <w:t xml:space="preserve">C: Binds to collagen and stabilizes fibrils. </w:t>
        <w:br/>
        <w:t xml:space="preserve">D: Promotes cell adhesion. </w:t>
        <w:br/>
      </w:r>
    </w:p>
    <w:p>
      <w:r>
        <w:t>Answer:  C: Binds to collagen and stabilizes fibrils.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