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A – Chest radiograph of a patient with Pneumocystis jiroveci pneumonia showing bilateral, diffuse interstitial infiltrates B – Contrast enhanced computed tomographic (CT) scan of chest showing mediastinal lymphadenopathy in a patient with disseminated tuberculosis. Typical central necrosis evident as low attenuation areas (arrows) is seen C – Contrast enhanced CT scan of brain showing ring enhancing lesions in the basal ganglia bilaterally (arrows). Serology was positive for toxoplasma infection D – Ophthalmoscopic image of a patient with cytomegalovirus retinitis E – Non-Hodgkin's lymphoma in a HIV-infected lady presenting as unilateral maxillary swelling F – Contrast enhanced CT scan of abdomen reveals an oedematous and enlarged pancreas (asterisk) suggestive of acute pancreatitis. The patient was on didanosine and improved following withdrawal of the same and supportive treatment.</w:t>
        <w:br/>
      </w:r>
    </w:p>
    <w:p>
      <w:r>
        <w:t xml:space="preserve">Question:  Which imaging modality is best suited to visualize mediastinal lymphadenopathy in tuberculosis? </w:t>
        <w:br/>
        <w:t xml:space="preserve"> </w:t>
        <w:br/>
        <w:t xml:space="preserve">A: X-ray </w:t>
        <w:br/>
        <w:t xml:space="preserve">B: Magnetic resonance imaging </w:t>
        <w:br/>
        <w:t xml:space="preserve">C: Contrast enhanced computed tomography </w:t>
        <w:br/>
        <w:t xml:space="preserve">D: Ultrasonography </w:t>
        <w:br/>
      </w:r>
    </w:p>
    <w:p>
      <w:r>
        <w:t>Answer:  C: Contrast enhanced computed tomography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