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 Chest radiograph of a patient with Pneumocystis jiroveci pneumonia showing bilateral, diffuse interstitial infiltrates B – Contrast enhanced computed tomographic (CT) scan of chest showing mediastinal lymphadenopathy in a patient with disseminated tuberculosis. Typical central necrosis evident as low attenuation areas (arrows) is seen C – Contrast enhanced CT scan of brain showing ring enhancing lesions in the basal ganglia bilaterally (arrows). Serology was positive for toxoplasma infection D – Ophthalmoscopic image of a patient with cytomegalovirus retinitis E – Non-Hodgkin's lymphoma in a HIV-infected lady presenting as unilateral maxillary swelling F – Contrast enhanced CT scan of abdomen reveals an oedematous and enlarged pancreas (asterisk) suggestive of acute pancreatitis. The patient was on didanosine and improved following withdrawal of the same and supportive treatment.</w:t>
        <w:br/>
      </w:r>
    </w:p>
    <w:p>
      <w:r>
        <w:t xml:space="preserve">Question:  Which opportunistic infection commonly affects the eyes of patients with human immunodeficiency virus infection? </w:t>
        <w:br/>
        <w:t xml:space="preserve"> </w:t>
        <w:br/>
        <w:t xml:space="preserve">A: Tuberculosis </w:t>
        <w:br/>
        <w:t xml:space="preserve">B: Candidiasis </w:t>
        <w:br/>
        <w:t xml:space="preserve">C: Cytomegalovirus </w:t>
        <w:br/>
        <w:t xml:space="preserve">D: Pneumocystis jiroveci </w:t>
        <w:br/>
      </w:r>
    </w:p>
    <w:p>
      <w:r>
        <w:t>Answer:  C: Cytomegalovirus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