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Thoracic computerized tomography showing a lesion of 7 cm × 6.5 cm in diameter on the left anterolateral chest wall in the left axillary region at the level of 4.–5. ribs with minimal compressive atelectasis and destruction of the ribs.</w:t>
        <w:br/>
      </w:r>
    </w:p>
    <w:p>
      <w:r>
        <w:t xml:space="preserve">Question: What imaging technique was used to identify the lesion? </w:t>
        <w:br/>
        <w:t xml:space="preserve"> </w:t>
        <w:br/>
        <w:t xml:space="preserve">A:X-ray </w:t>
        <w:br/>
        <w:t xml:space="preserve">B:MRI </w:t>
        <w:br/>
        <w:t xml:space="preserve">C:CT scan </w:t>
        <w:br/>
        <w:t xml:space="preserve">D:Ultrasound </w:t>
        <w:br/>
      </w:r>
    </w:p>
    <w:p>
      <w:r>
        <w:t>Answer:  C:CT scan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