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Thoracic computerized tomography showing a lesion of 7 cm × 6.5 cm in diameter on the left anterolateral chest wall in the left axillary region at the level of 4.–5. ribs with minimal compressive atelectasis and destruction of the ribs.</w:t>
        <w:br/>
      </w:r>
    </w:p>
    <w:p>
      <w:r>
        <w:t xml:space="preserve">Question: What is the level of the lesion? </w:t>
        <w:br/>
        <w:t xml:space="preserve"> </w:t>
        <w:br/>
        <w:t xml:space="preserve">A:3-4 ribs </w:t>
        <w:br/>
        <w:t xml:space="preserve">B:4-5 ribs </w:t>
        <w:br/>
        <w:t xml:space="preserve">C:5-6 ribs </w:t>
        <w:br/>
        <w:t xml:space="preserve">D:6-7 ribs </w:t>
        <w:br/>
      </w:r>
    </w:p>
    <w:p>
      <w:r>
        <w:t>Answer:  B:4-5 ribs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