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Intravascular ultrasound examples of the proximal reference site and balloon injury site 30 days after the angioplasty. Note that there was both greater intimal thickening (arrows) in the vessel treated with intravenous antisense alone, and a reduction in lumen size when compared to the proximal reference segment. The balloon injury site of the vessel treated with intravenous antisense plus PESDA and 20 kHz transcutaneous ultrasound did not exhibit any reduction in lumen area or visually evident plaque. (Reprinted with permission from Porter TR, Hiser WL, Kricsfeld D, Deligonul U, Xie F, Iversen P et al: Inhibition of carotid artery neointimal formation with intravenous microbubbles. Ultrasound Med Biol 2001, 27:259-265).</w:t>
        <w:br/>
      </w:r>
    </w:p>
    <w:p>
      <w:r>
        <w:t xml:space="preserve">Question: What is intimal thickening? </w:t>
        <w:br/>
        <w:t xml:space="preserve"> </w:t>
        <w:br/>
        <w:t xml:space="preserve">A: Reduction in lumen size. </w:t>
        <w:br/>
        <w:t xml:space="preserve">B: Increase in plaque area. </w:t>
        <w:br/>
        <w:t xml:space="preserve">C: The thickening of the innermost layer of arteries. </w:t>
        <w:br/>
        <w:t xml:space="preserve">D: Narrowing of the blood vessel. </w:t>
        <w:br/>
      </w:r>
    </w:p>
    <w:p>
      <w:r>
        <w:t>Answer:  C: The thickening of the innermost layer of arteries.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