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Intravascular ultrasound examples of the proximal reference site and balloon injury site 30 days after the angioplasty. Note that there was both greater intimal thickening (arrows) in the vessel treated with intravenous antisense alone, and a reduction in lumen size when compared to the proximal reference segment. The balloon injury site of the vessel treated with intravenous antisense plus PESDA and 20 kHz transcutaneous ultrasound did not exhibit any reduction in lumen area or visually evident plaque. (Reprinted with permission from Porter TR, Hiser WL, Kricsfeld D, Deligonul U, Xie F, Iversen P et al: Inhibition of carotid artery neointimal formation with intravenous microbubbles. Ultrasound Med Biol 2001, 27:259-265).</w:t>
        <w:br/>
      </w:r>
    </w:p>
    <w:p>
      <w:r>
        <w:t xml:space="preserve">Question: What is intravascular ultrasound used for? </w:t>
        <w:br/>
        <w:t xml:space="preserve"> </w:t>
        <w:br/>
        <w:t xml:space="preserve">A: To visualize the innermost layer of arteries. </w:t>
        <w:br/>
        <w:t xml:space="preserve">B: To perform angioplasty. </w:t>
        <w:br/>
        <w:t xml:space="preserve">C: To treat carotid artery neointimal formation. </w:t>
        <w:br/>
        <w:t xml:space="preserve">D: To increase lumen area of the blood vessel. </w:t>
        <w:br/>
      </w:r>
    </w:p>
    <w:p>
      <w:r>
        <w:t>Answer:  A: To visualize the innermost layer of arteries.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