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Intravascular ultrasound examples of the proximal reference site and balloon injury site 30 days after the angioplasty. Note that there was both greater intimal thickening (arrows) in the vessel treated with intravenous antisense alone, and a reduction in lumen size when compared to the proximal reference segment. The balloon injury site of the vessel treated with intravenous antisense plus PESDA and 20 kHz transcutaneous ultrasound did not exhibit any reduction in lumen area or visually evident plaque. (Reprinted with permission from Porter TR, Hiser WL, Kricsfeld D, Deligonul U, Xie F, Iversen P et al: Inhibition of carotid artery neointimal formation with intravenous microbubbles. Ultrasound Med Biol 2001, 27:259-265).</w:t>
        <w:br/>
      </w:r>
    </w:p>
    <w:p>
      <w:r>
        <w:t xml:space="preserve">Question: What is carotid artery neointimal formation? </w:t>
        <w:br/>
        <w:t xml:space="preserve"> </w:t>
        <w:br/>
        <w:t xml:space="preserve">A: The thickening of the innermost layer of arteries. </w:t>
        <w:br/>
        <w:t xml:space="preserve">B: Widening of the blood vessel. </w:t>
        <w:br/>
        <w:t xml:space="preserve">C: The development of new blood vessels. </w:t>
        <w:br/>
        <w:t xml:space="preserve">D: Formation of plaque in the arteries. </w:t>
        <w:br/>
      </w:r>
    </w:p>
    <w:p>
      <w:r>
        <w:t>Answer:  D: Formation of plaque in the arteries.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