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Angiotensin II receptor 1 staining in lung biopsies from control patients (A) and from patients with idiopathic pulmonary fibrosis (B). Immunohistochemistry for the angiotensin II receptor 1 (AGTR1), counterstained with haematoxylin. AGTR1 positive staining is seen in alveolar macrophages, in epithelial cells and in fibroblastic foci (arrows) in usual interstitial pneumonia biopsies (panel B). Epithelial cells and alveolar macrophages express AGTR1 in control lung biopsies (panel A).</w:t>
        <w:br/>
      </w:r>
    </w:p>
    <w:p>
      <w:r>
        <w:t xml:space="preserve">Question:  What disease are the lung biopsies from? </w:t>
        <w:br/>
        <w:t xml:space="preserve"> </w:t>
        <w:br/>
        <w:t xml:space="preserve">A: Asthma </w:t>
        <w:br/>
        <w:t xml:space="preserve">B: Lung cancer </w:t>
        <w:br/>
        <w:t xml:space="preserve">C: Idiopathic pulmonary fibrosis </w:t>
        <w:br/>
        <w:t xml:space="preserve">D: Tuberculosis. </w:t>
        <w:br/>
      </w:r>
    </w:p>
    <w:p>
      <w:r>
        <w:t xml:space="preserve">Answer:  C: Idiopathic pulmonary fibrosis.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