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Mutant α-Actinin-4 Behavior in Cells(A) Mutant and wild-type α-actinin-4 show different localization and dynamics when expressed in a conditionally immortalized differentiated mouse podocyte cell line. Differentiated podocytes were injected in the nucleus with equal concentrations of expression plasmid for GFP fusions of mutant and wild-type actinins. At 2–4 h after injections, cells were imaged and both phase and fluorescence images recorded as described in the Materials and Methods. To illustrate changes in distribution of the fluorescence signal, three fluorescence images each 1 min apart were overlaid as red, green, and blue panes. Areas of fluorescence that were the same in all panes show as white, while dynamic areas are indicated by the color. The top panel indicates the initial phase and overlain dynamic fluorescence images of wild-type α-actinin-4, while the bottom two panels illustrate characteristic results for mutants K228E and T232I at 3 min time intervals. (See Videos S1–S3.)(B) Transfections in podocytes derived from mutant and wild-type mice. When transfected into conditionally immortalized podocytes of all three α-actinin-4 genotypes (+/+, K228E/+, or K228E/K228E), wild-type GFP–α-actinin-4 shows diffuse cytoskeletal localization. Mutant GFP–α-actinin-4 shows a similar alteration in localization when expressed in these three cells types.</w:t>
        <w:br/>
      </w:r>
    </w:p>
    <w:p>
      <w:r>
        <w:t xml:space="preserve">Question:  In which type of cells is GFP-α-actinin-4 expressed? </w:t>
        <w:br/>
        <w:t xml:space="preserve"> </w:t>
        <w:br/>
        <w:t xml:space="preserve">A: Brain cells </w:t>
        <w:br/>
        <w:t xml:space="preserve">B: Muscle cells </w:t>
        <w:br/>
        <w:t xml:space="preserve">C: Podocyte cells </w:t>
        <w:br/>
        <w:t xml:space="preserve">D: Skin cells </w:t>
        <w:br/>
      </w:r>
    </w:p>
    <w:p>
      <w:r>
        <w:t>Answer:  C: Podocyte cells.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