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tomography of the abdomen four years after Billroth II resection for gastric cancer, revealing an inhomogenous mass in the pancreatic head, 4 cm in diameter. (Picture courtesy the Division of Radiology, German Cancer Research Center, provided by PD Dr. med. S. Delorme).</w:t>
        <w:br/>
      </w:r>
    </w:p>
    <w:p>
      <w:r>
        <w:t xml:space="preserve">Question: How long ago was the patient's resection for gastric cancer? </w:t>
        <w:br/>
        <w:t xml:space="preserve"> </w:t>
        <w:br/>
        <w:t xml:space="preserve">A: 2 years </w:t>
        <w:br/>
        <w:t xml:space="preserve">B: 3 years </w:t>
        <w:br/>
        <w:t xml:space="preserve">C: 4 years </w:t>
        <w:br/>
        <w:t xml:space="preserve">D: 5 years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