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Computed tomography of the abdomen four years after Billroth II resection for gastric cancer, revealing an inhomogenous mass in the pancreatic head, 4 cm in diameter. (Picture courtesy the Division of Radiology, German Cancer Research Center, provided by PD Dr. med. S. Delorme).</w:t>
        <w:br/>
      </w:r>
    </w:p>
    <w:p>
      <w:r>
        <w:t xml:space="preserve">Question: What type of resection did the patient undergo for gastric cancer? </w:t>
        <w:br/>
        <w:t xml:space="preserve"> </w:t>
        <w:br/>
        <w:t xml:space="preserve">A: Billroth I resection </w:t>
        <w:br/>
        <w:t xml:space="preserve">B: Whipple procedure </w:t>
        <w:br/>
        <w:t xml:space="preserve">C: Pancreaticoduodenectomy </w:t>
        <w:br/>
        <w:t xml:space="preserve">D: Billroth II resection </w:t>
        <w:br/>
      </w:r>
    </w:p>
    <w:p>
      <w:r>
        <w:t xml:space="preserve">Answer:  D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