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Monaural Sound Localization in PET Experiments Performed in the Three Groups of Subjects(A) CBF increases. Activations of the right striate and extrastriate cortices are observed in EBSP but not in the two other groups for the contrast of MSL minus its control task. Upper image series, sagittal slices; lower image series, coronal slices. X and Y coordinates refer to standardized stereotaxic space.(B) Behavioral data. Behavioral results in MSL task (with SE bars). The dashed lines represent the ideal performance, whereas the solid lines indicate the best linear fit to the observed localization performance. Negative angles on the abscissa correspond to the obstructed ear, while positive angles correspond to the unobstructed ear. Note the better performance of the EBSP group compared to the EBNP and SIG.</w:t>
        <w:br/>
      </w:r>
    </w:p>
    <w:p>
      <w:r>
        <w:t xml:space="preserve">Question: Which group of subjects showed activations of the right striate and extrastriate cortices in MSL task? </w:t>
        <w:br/>
        <w:t xml:space="preserve"> </w:t>
        <w:br/>
        <w:t xml:space="preserve">A: EBSP. </w:t>
        <w:br/>
        <w:t xml:space="preserve">B: EBNP. </w:t>
        <w:br/>
        <w:t xml:space="preserve">C: SIG. </w:t>
        <w:br/>
        <w:t xml:space="preserve">D: All groups showed activations. </w:t>
        <w:br/>
      </w:r>
    </w:p>
    <w:p>
      <w:r>
        <w:t>Answer:  A: EBSP.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