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Monaural Sound Localization in PET Experiments Performed in the Three Groups of Subjects(A) CBF increases. Activations of the right striate and extrastriate cortices are observed in EBSP but not in the two other groups for the contrast of MSL minus its control task. Upper image series, sagittal slices; lower image series, coronal slices. X and Y coordinates refer to standardized stereotaxic space.(B) Behavioral data. Behavioral results in MSL task (with SE bars). The dashed lines represent the ideal performance, whereas the solid lines indicate the best linear fit to the observed localization performance. Negative angles on the abscissa correspond to the obstructed ear, while positive angles correspond to the unobstructed ear. Note the better performance of the EBSP group compared to the EBNP and SIG.</w:t>
        <w:br/>
      </w:r>
    </w:p>
    <w:p>
      <w:r>
        <w:t xml:space="preserve">Question: Which group performed better in the MSL task according to the behavioral results? </w:t>
        <w:br/>
        <w:t xml:space="preserve"> </w:t>
        <w:br/>
        <w:t xml:space="preserve">A: EBSP. </w:t>
        <w:br/>
        <w:t xml:space="preserve">B: EBNP. </w:t>
        <w:br/>
        <w:t xml:space="preserve">C: SIG. </w:t>
        <w:br/>
        <w:t xml:space="preserve">D: There was no difference in performance. </w:t>
        <w:br/>
      </w:r>
    </w:p>
    <w:p>
      <w:r>
        <w:t>Answer:  A: EBSP.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