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staining of VEGF-C in biopsied specimens (upper panel) and hematoxylin-eosin (H&amp;E) staining, immunohistochemical staining of cytokeratin and VEGF-C in metastastic lymph node (middle and lower panel). a, VEGF-C positive type in biopsied specimens. b, VEGF-C negative type in biopsied specimens. c, f, hematoxylin-eosin (H&amp;E) staining in metastastic lymph node. d, g, immunohistochemical staining of cytokeratin in metastastic lymph node. e, VEGF-C positive type in metastastic lymph node. h, VEGF-C negative type in metastastic lymph node.</w:t>
        <w:br/>
      </w:r>
    </w:p>
    <w:p>
      <w:r>
        <w:t xml:space="preserve">Question: What was the purpose of hematoxylin-eosin (H&amp;E) staining? </w:t>
        <w:br/>
        <w:t xml:space="preserve"> </w:t>
        <w:br/>
        <w:t xml:space="preserve">A:to observe the biological function of VEGF-C </w:t>
        <w:br/>
        <w:t xml:space="preserve">B:to detect VEGF-C in metastatic lymph node </w:t>
        <w:br/>
        <w:t xml:space="preserve">C:to visualize VEGF-C in biopsied specimens </w:t>
        <w:br/>
        <w:t xml:space="preserve">D:to observe the morphology of tissues </w:t>
        <w:br/>
      </w:r>
    </w:p>
    <w:p>
      <w:r>
        <w:t>Answer:  D:to observe the morphology of tissues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