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staining of VEGF-C in biopsied specimens (upper panel) and hematoxylin-eosin (H&amp;E) staining, immunohistochemical staining of cytokeratin and VEGF-C in metastastic lymph node (middle and lower panel). a, VEGF-C positive type in biopsied specimens. b, VEGF-C negative type in biopsied specimens. c, f, hematoxylin-eosin (H&amp;E) staining in metastastic lymph node. d, g, immunohistochemical staining of cytokeratin in metastastic lymph node. e, VEGF-C positive type in metastastic lymph node. h, VEGF-C negative type in metastastic lymph node.</w:t>
        <w:br/>
      </w:r>
    </w:p>
    <w:p>
      <w:r>
        <w:t xml:space="preserve">Question: What is shown in panel e? </w:t>
        <w:br/>
        <w:t xml:space="preserve"> </w:t>
        <w:br/>
        <w:t xml:space="preserve">A:VEGF-C positive type in biopsied specimens </w:t>
        <w:br/>
        <w:t xml:space="preserve">B:VEGF-C negative type in biopsied specimens </w:t>
        <w:br/>
        <w:t xml:space="preserve">C:VEGF-C positive type in metastatic lymph node </w:t>
        <w:br/>
        <w:t xml:space="preserve">D:VEGF-C negative type in metastatic lymph node </w:t>
        <w:br/>
      </w:r>
    </w:p>
    <w:p>
      <w:r>
        <w:t>Answer:  C:VEGF-C positive type in metastatic lymph node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