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Isolated overexpression of Xmab21l2 produces partially dorsalized embryos. A, C, E: control-injected embryos; B, D, F: Xmab21l2-injected embryos. A–D: tailbud-tadpole stages; E, F: gastrula stage. In B: external appearance of Xmab21l2-injected embryos. D: horizontal section of an Xmab21l2-injected section stained with orange-G/aniline blue. Note enlarged notocord (nc). F: expanded and enhanced Chordin expression in Xmab21l2-injected gastrulae (blue signal).</w:t>
        <w:br/>
      </w:r>
    </w:p>
    <w:p>
      <w:r>
        <w:t xml:space="preserve">Question:  What happens when Xmab21l2 is overexpressed in embryos? </w:t>
        <w:br/>
        <w:t xml:space="preserve"> </w:t>
        <w:br/>
        <w:t xml:space="preserve">A: Ventralized embryos. </w:t>
        <w:br/>
        <w:t xml:space="preserve">B: Partially dorsalized embryos. </w:t>
        <w:br/>
        <w:t xml:space="preserve">C: Normal embryos. </w:t>
        <w:br/>
        <w:t xml:space="preserve">D: Enlarged notochords in embryos. </w:t>
        <w:br/>
      </w:r>
    </w:p>
    <w:p>
      <w:r>
        <w:t xml:space="preserve">Answer:  B: Partially dorsalized embryos.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