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Isolated overexpression of Xmab21l2 produces partially dorsalized embryos. A, C, E: control-injected embryos; B, D, F: Xmab21l2-injected embryos. A–D: tailbud-tadpole stages; E, F: gastrula stage. In B: external appearance of Xmab21l2-injected embryos. D: horizontal section of an Xmab21l2-injected section stained with orange-G/aniline blue. Note enlarged notocord (nc). F: expanded and enhanced Chordin expression in Xmab21l2-injected gastrulae (blue signal).</w:t>
        <w:br/>
      </w:r>
    </w:p>
    <w:p>
      <w:r>
        <w:t xml:space="preserve">Question:  Which stages were observed in both control and Xmab21l2-injected embryos? </w:t>
        <w:br/>
        <w:t xml:space="preserve"> </w:t>
        <w:br/>
        <w:t xml:space="preserve">A: Tailbud-tadpole stages. </w:t>
        <w:br/>
        <w:t xml:space="preserve">B: Gastrula stage. </w:t>
        <w:br/>
        <w:t xml:space="preserve">C: Blastula stage. </w:t>
        <w:br/>
        <w:t xml:space="preserve">D: Fertilization stage. </w:t>
        <w:br/>
      </w:r>
    </w:p>
    <w:p>
      <w:r>
        <w:t>Answer:  A: Tailbud-tadpole stages.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