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Isolated overexpression of Xmab21l2 produces partially dorsalized embryos. A, C, E: control-injected embryos; B, D, F: Xmab21l2-injected embryos. A–D: tailbud-tadpole stages; E, F: gastrula stage. In B: external appearance of Xmab21l2-injected embryos. D: horizontal section of an Xmab21l2-injected section stained with orange-G/aniline blue. Note enlarged notocord (nc). F: expanded and enhanced Chordin expression in Xmab21l2-injected gastrulae (blue signal).</w:t>
        <w:br/>
      </w:r>
    </w:p>
    <w:p>
      <w:r>
        <w:t xml:space="preserve">Question:  What did the horizontal section of Xmab21l2-injected section stained with orange-G/aniline blue show? </w:t>
        <w:br/>
        <w:t xml:space="preserve"> </w:t>
        <w:br/>
        <w:t xml:space="preserve">A: Normal embryo. </w:t>
        <w:br/>
        <w:t xml:space="preserve">B: Ventralized embryo. </w:t>
        <w:br/>
        <w:t xml:space="preserve">C: Partially dorsalized embryo. </w:t>
        <w:br/>
        <w:t xml:space="preserve">D: Enlarged yolk sac. </w:t>
        <w:br/>
      </w:r>
    </w:p>
    <w:p>
      <w:r>
        <w:t>Answer:  C: Partially dorsalized embryo.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