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Isolated overexpression of Xmab21l2 produces partially dorsalized embryos. A, C, E: control-injected embryos; B, D, F: Xmab21l2-injected embryos. A–D: tailbud-tadpole stages; E, F: gastrula stage. In B: external appearance of Xmab21l2-injected embryos. D: horizontal section of an Xmab21l2-injected section stained with orange-G/aniline blue. Note enlarged notocord (nc). F: expanded and enhanced Chordin expression in Xmab21l2-injected gastrulae (blue signal).</w:t>
        <w:br/>
      </w:r>
    </w:p>
    <w:p>
      <w:r>
        <w:t xml:space="preserve">Question:  What is noticed in the expanded and enhanced Chordin expression in Xmab21l2-injected gastrulae? </w:t>
        <w:br/>
        <w:t xml:space="preserve"> </w:t>
        <w:br/>
        <w:t xml:space="preserve">A: Orange signal. </w:t>
        <w:br/>
        <w:t xml:space="preserve">B: Red signal. </w:t>
        <w:br/>
        <w:t xml:space="preserve">C: Blue signal. </w:t>
        <w:br/>
        <w:t xml:space="preserve">D: Green signal. </w:t>
        <w:br/>
      </w:r>
    </w:p>
    <w:p>
      <w:r>
        <w:t>Answer:  C: Blue signal.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