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Isolated overexpression of Xmab21l2 produces partially dorsalized embryos. A, C, E: control-injected embryos; B, D, F: Xmab21l2-injected embryos. A–D: tailbud-tadpole stages; E, F: gastrula stage. In B: external appearance of Xmab21l2-injected embryos. D: horizontal section of an Xmab21l2-injected section stained with orange-G/aniline blue. Note enlarged notocord (nc). F: expanded and enhanced Chordin expression in Xmab21l2-injected gastrulae (blue signal).</w:t>
        <w:br/>
      </w:r>
    </w:p>
    <w:p>
      <w:r>
        <w:t xml:space="preserve">Question:  Which of the embryos had external appearance differences? </w:t>
        <w:br/>
        <w:t xml:space="preserve"> </w:t>
        <w:br/>
        <w:t xml:space="preserve">A: Control-injected embryos. </w:t>
        <w:br/>
        <w:t xml:space="preserve">B: Xmab21l2-injected embryos. </w:t>
        <w:br/>
        <w:t xml:space="preserve">C: Both A and B. </w:t>
        <w:br/>
        <w:t xml:space="preserve">D: Neither A nor B. </w:t>
        <w:br/>
      </w:r>
    </w:p>
    <w:p>
      <w:r>
        <w:t>Answer:  B: Xmab21l2-injected embryos.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