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Targeting of GFP-MRP7 and GFP-GSA to peroxisomes in yeast cells. Fluorescence of CB80 yeast cells expressing (a) GFP and DsRed-SKL; (b) GFP-SKL and DsRed-SKL; (c) GFP-MRP7 and DsRed-SKL; or (d) GFP-GSA and DsRed-SKL. Transformed cells were cultured on oleate and observed live for fluorescence. Control experiments (a) show that GFP co-localizes with Ds-Red-SKL only when the sequence -SKL is appended at its extreme carboxyl terminus (b). The figures reveal a punctuate fluorescence pattern for GFP fused to the yeast mitochondrial ribosomal protein L2 encoded by MRP7 (c) or to the bacterial enzyme glutamate-1-semialdehyde 2,1-aminomutase (GSA) (d). Both fusion proteins co-localize with DsRed-SKL in yeast peroxisomes. GFP fused to GSA without its carboxy-terminal -AKL gave rise to a diffuse (cytosolic) fluorescence pattern (data not shown).</w:t>
        <w:br/>
      </w:r>
    </w:p>
    <w:p>
      <w:r>
        <w:t xml:space="preserve">Question: What is the purpose of the −SKL sequence? </w:t>
        <w:br/>
        <w:t xml:space="preserve"> </w:t>
        <w:br/>
        <w:t xml:space="preserve">A: To target GFP to the nucleus </w:t>
        <w:br/>
        <w:t xml:space="preserve">B: To target GFP to the mitochondria </w:t>
        <w:br/>
        <w:t xml:space="preserve">C: To target GFP to the peroxisomes </w:t>
        <w:br/>
        <w:t xml:space="preserve">D: To target GFP to the cytosol </w:t>
        <w:br/>
      </w:r>
    </w:p>
    <w:p>
      <w:r>
        <w:t xml:space="preserve">Answer:  C: To target GFP to the peroxisomes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