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Heparin, but not RAP, competes for DiI-apoE-VLDL uptake by adipocytes. Differentiated adipocytes were cultured on glass coverslips and incubated with DiI-labeled apoE-VLDL (4 μg/ml) in the presence or absence (upper panel) of either heparin (500 μg/ml, middle panel) or RAP-GST (50 μg/ml, lower panel) at 37°C for 3 h. Cells were then fixed and processed for fluorescence microscopy. Left panels, phase contrast image; right panels, rhodamine filter set (550 nm excitation-573 nm emission). Magnification, 630×.</w:t>
        <w:br/>
      </w:r>
    </w:p>
    <w:p>
      <w:r>
        <w:t xml:space="preserve">Question:  What is the concentration of DiI-labeled apoE-VLDL used in the experiment? </w:t>
        <w:br/>
        <w:t xml:space="preserve"> </w:t>
        <w:br/>
        <w:t xml:space="preserve">A: 2 μg/ml </w:t>
        <w:br/>
        <w:t xml:space="preserve">B: 4 μg/ml </w:t>
        <w:br/>
        <w:t xml:space="preserve">C: 6 μg/ml </w:t>
        <w:br/>
        <w:t xml:space="preserve">D: 8 μg/ml  </w:t>
        <w:br/>
      </w:r>
    </w:p>
    <w:p>
      <w:r>
        <w:t xml:space="preserve">Answer:  B: 4 μg/ml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