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Heparin, but not RAP, competes for DiI-apoE-VLDL uptake by adipocytes. Differentiated adipocytes were cultured on glass coverslips and incubated with DiI-labeled apoE-VLDL (4 μg/ml) in the presence or absence (upper panel) of either heparin (500 μg/ml, middle panel) or RAP-GST (50 μg/ml, lower panel) at 37°C for 3 h. Cells were then fixed and processed for fluorescence microscopy. Left panels, phase contrast image; right panels, rhodamine filter set (550 nm excitation-573 nm emission). Magnification, 630×.</w:t>
        <w:br/>
      </w:r>
    </w:p>
    <w:p>
      <w:r>
        <w:t xml:space="preserve">Question:  What is the concentration of heparin used in the experiment? </w:t>
        <w:br/>
        <w:t xml:space="preserve"> </w:t>
        <w:br/>
        <w:t xml:space="preserve">A: 100 μg/ml </w:t>
        <w:br/>
        <w:t xml:space="preserve">B: 200 μg/ml </w:t>
        <w:br/>
        <w:t xml:space="preserve">C: 500 μg/ml </w:t>
        <w:br/>
        <w:t xml:space="preserve">D: 1000 μg/ml  </w:t>
        <w:br/>
      </w:r>
    </w:p>
    <w:p>
      <w:r>
        <w:t xml:space="preserve">Answer:  C: 500 μg/ml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