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Scrib is not localized in focal adhesions in CV-1 cells, and is dispensable for targeting LPP to these structures. Upper panels: CV-1 cells, grown on glass coverslips, were double labelled with Scrib-472 antibodies (left panel) and anti-vinculin antibodies (right panel) used as a marker for focal adhesions. Lower panels: CV-1 cells were transiently transfected with wild-type human LPP (left panel), or LPP with a mutated carboxy-terminus (T610A) (right panel), as GFP-fusions. GFP-fluorescence was visualized by epifluorescence microscopy.</w:t>
        <w:br/>
      </w:r>
    </w:p>
    <w:p>
      <w:r>
        <w:t xml:space="preserve">Question: What is the marker used for focal adhesions in this experiment? </w:t>
        <w:br/>
        <w:t xml:space="preserve"> </w:t>
        <w:br/>
        <w:t xml:space="preserve">A:Scrib-472 antibodies. </w:t>
        <w:br/>
        <w:t xml:space="preserve">B:GFP-fusion. </w:t>
        <w:br/>
        <w:t xml:space="preserve">C:Anti-vinculin antibodies. </w:t>
        <w:br/>
        <w:t xml:space="preserve">D:Mutated carboxy-terminus. </w:t>
        <w:br/>
      </w:r>
    </w:p>
    <w:p>
      <w:r>
        <w:t>Answer:  C:Anti-vinculin antibodies.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