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Scrib is not localized in focal adhesions in CV-1 cells, and is dispensable for targeting LPP to these structures. Upper panels: CV-1 cells, grown on glass coverslips, were double labelled with Scrib-472 antibodies (left panel) and anti-vinculin antibodies (right panel) used as a marker for focal adhesions. Lower panels: CV-1 cells were transiently transfected with wild-type human LPP (left panel), or LPP with a mutated carboxy-terminus (T610A) (right panel), as GFP-fusions. GFP-fluorescence was visualized by epifluorescence microscopy.</w:t>
        <w:br/>
      </w:r>
    </w:p>
    <w:p>
      <w:r>
        <w:t xml:space="preserve">Question: Which cells were used in this experiment? </w:t>
        <w:br/>
        <w:t xml:space="preserve"> </w:t>
        <w:br/>
        <w:t xml:space="preserve">A:HeLa cells. </w:t>
        <w:br/>
        <w:t xml:space="preserve">B:MCF-7 cells. </w:t>
        <w:br/>
        <w:t xml:space="preserve">C:CV-1 cells. </w:t>
        <w:br/>
        <w:t xml:space="preserve">D:BEAS-2B cells. </w:t>
        <w:br/>
      </w:r>
    </w:p>
    <w:p>
      <w:r>
        <w:t>Answer:  C:CV-1 cells.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