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Scrib is not localized in focal adhesions in CV-1 cells, and is dispensable for targeting LPP to these structures. Upper panels: CV-1 cells, grown on glass coverslips, were double labelled with Scrib-472 antibodies (left panel) and anti-vinculin antibodies (right panel) used as a marker for focal adhesions. Lower panels: CV-1 cells were transiently transfected with wild-type human LPP (left panel), or LPP with a mutated carboxy-terminus (T610A) (right panel), as GFP-fusions. GFP-fluorescence was visualized by epifluorescence microscopy.</w:t>
        <w:br/>
      </w:r>
    </w:p>
    <w:p>
      <w:r>
        <w:t xml:space="preserve">Question: What was the aim of the experiment? </w:t>
        <w:br/>
        <w:t xml:space="preserve"> </w:t>
        <w:br/>
        <w:t xml:space="preserve">A:To study the morphology of focal adhesions. </w:t>
        <w:br/>
        <w:t xml:space="preserve">B:To study the role of LPP in Scrib localization. </w:t>
        <w:br/>
        <w:t xml:space="preserve">C:To study the role of Scrib in LPP targeting. </w:t>
        <w:br/>
        <w:t xml:space="preserve">D:To study the role of Scrib and LPP in cell cycle. </w:t>
        <w:br/>
      </w:r>
    </w:p>
    <w:p>
      <w:r>
        <w:t>Answer:  C:To study the role of Scrib in LPP targeting.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