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Optical Z-axis sections of caveolin-2 associated with chlamydial inclusion membranes. FRT cells were infected with C. trachomatis serovar K for 48 h. Cells were fixed with 10% cold methanol and double stained with a guinea pig anti-Chlamydia and a mouse anti-caveolin-2 antibody. The secondary antibodies were FITC-conjugated goat anti-mouse and TRITC-conjugated goat anti-guinea pig antibody. Slides were examined using a laser confocal microscope and optical Z-axis sections were taken at 0.5 μm depth and images merged using the Confocal Assistant™ version 4.02 Image Processing Software. Original magnification: 600X; the scale bar is 25 μm in length.</w:t>
        <w:br/>
      </w:r>
    </w:p>
    <w:p>
      <w:r>
        <w:t xml:space="preserve">Question:  Which chlamydial serovar was used in the experiment? </w:t>
        <w:br/>
        <w:t xml:space="preserve"> </w:t>
        <w:br/>
        <w:t xml:space="preserve">A: Serovar A </w:t>
        <w:br/>
        <w:t xml:space="preserve">B:Serovar B </w:t>
        <w:br/>
        <w:t xml:space="preserve">C: Serovar K </w:t>
        <w:br/>
        <w:t xml:space="preserve">D:Serovar L </w:t>
        <w:br/>
      </w:r>
    </w:p>
    <w:p>
      <w:r>
        <w:t xml:space="preserve">Answer:  C: Serovar K.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