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Optical Z-axis sections of caveolin-2 associated with chlamydial inclusion membranes. FRT cells were infected with C. trachomatis serovar K for 48 h. Cells were fixed with 10% cold methanol and double stained with a guinea pig anti-Chlamydia and a mouse anti-caveolin-2 antibody. The secondary antibodies were FITC-conjugated goat anti-mouse and TRITC-conjugated goat anti-guinea pig antibody. Slides were examined using a laser confocal microscope and optical Z-axis sections were taken at 0.5 μm depth and images merged using the Confocal Assistant™ version 4.02 Image Processing Software. Original magnification: 600X; the scale bar is 25 μm in length.</w:t>
        <w:br/>
      </w:r>
    </w:p>
    <w:p>
      <w:r>
        <w:t xml:space="preserve">Question:  What fixation method was used on the cells? </w:t>
        <w:br/>
        <w:t xml:space="preserve"> </w:t>
        <w:br/>
        <w:t xml:space="preserve">A: 70% Ethanol </w:t>
        <w:br/>
        <w:t xml:space="preserve">B:10% Cold Methanol </w:t>
        <w:br/>
        <w:t xml:space="preserve">C: Formaldehyde </w:t>
        <w:br/>
        <w:t xml:space="preserve">D:Acetone </w:t>
        <w:br/>
      </w:r>
    </w:p>
    <w:p>
      <w:r>
        <w:t xml:space="preserve">Answer:  B: 10% Cold Methanol.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