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Optical Z-axis sections of caveolin-2 associated with chlamydial inclusion membranes. FRT cells were infected with C. trachomatis serovar K for 48 h. Cells were fixed with 10% cold methanol and double stained with a guinea pig anti-Chlamydia and a mouse anti-caveolin-2 antibody. The secondary antibodies were FITC-conjugated goat anti-mouse and TRITC-conjugated goat anti-guinea pig antibody. Slides were examined using a laser confocal microscope and optical Z-axis sections were taken at 0.5 μm depth and images merged using the Confocal Assistant™ version 4.02 Image Processing Software. Original magnification: 600X; the scale bar is 25 μm in length.</w:t>
        <w:br/>
      </w:r>
    </w:p>
    <w:p>
      <w:r>
        <w:t xml:space="preserve">Question:  What was the secondary antibody used for staining the guinea pig anti-Chlamydia antibody? </w:t>
        <w:br/>
        <w:t xml:space="preserve"> </w:t>
        <w:br/>
        <w:t xml:space="preserve">A: FITC-conjugated goat anti-mouse </w:t>
        <w:br/>
        <w:t xml:space="preserve">B:TRITC-conjugated goat anti-rabbit </w:t>
        <w:br/>
        <w:t xml:space="preserve">C:FITC-conjugated goat anti-rat </w:t>
        <w:br/>
        <w:t xml:space="preserve">D:TRITC-conjugated goat anti-guinea pig </w:t>
        <w:br/>
      </w:r>
    </w:p>
    <w:p>
      <w:r>
        <w:t xml:space="preserve">Answer:  D: TRITC-conjugated goat anti-guinea pig.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