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Light and electron microscopy revealed an exclusively anterograde gradient of axon degeneration in transected and crushed WldS sciatic/tibial nerves after prolonged lesion times A, F: Quantification of axon preservation at proximal and distal ends of the peripheral nerve stump after transection (A) and crush (F) injury exposed exclusively anterograde gradients of axon degeneration after 15 to 30 days following injury (15 d lesion time-point only after transection injury). Differences in the number of protected axons between the proximal and distal end of the stump were maximum after 20 days and more moderate prior or later to that, correspondingly. Remarkably, after 30 days following crush lesion considerable numbers of totally intact axons could be counted (63.5 % in distal tibial nerve) pointing to a weaker effect of compression over transection and generally to the longevity of distal WldS axons. B-E: Light microscopic images (B, D) and corresponding electron micrographs (C, E) taken from the proximal (B, C) and distal (D, E) end of the peripheral nerve stump after 20 days following transection lesion. At the proximal end (sciatic nerve) 28.1 % myelinated axons were structurally preserved while at the distal end (tibial nerve) we could observe 85.0 % preserved axons pointing to an anterograde gradient of axon degeneration. G-J: Light microscopic images (G, I) and corresponding electron micrographs (H, J) taken from the proximal (G, H) and distal (I, J) end of the peripheral nerve stump after 20 days following compression lesion. Similar to the transection lesion also here we identified a clear anterograde degeneration gradient with 70.0 % intact axons at the proximal end and 94.8 % preserved axons at the distal end of the nerve stump. Magnification of light microscopy is 630 × and electron microscopy is 3400 ×</w:t>
        <w:br/>
      </w:r>
    </w:p>
    <w:p>
      <w:r>
        <w:t xml:space="preserve">Question:  What was the percentage of intact axons at the proximal end and distal end of the nerve stump after 20 days following compression lesion? </w:t>
        <w:br/>
        <w:t xml:space="preserve"> </w:t>
        <w:br/>
        <w:t xml:space="preserve">A: 28.1% at the proximal end and 85.0% at the distal end </w:t>
        <w:br/>
        <w:t xml:space="preserve">B: 70.0% at the proximal end and 94.8% at the distal end </w:t>
        <w:br/>
        <w:t xml:space="preserve">C: 85.0% at the proximal end and 28.1% at the distal end </w:t>
        <w:br/>
        <w:t xml:space="preserve">D: 94.8% at the proximal end and 70.0% at the distal end. </w:t>
        <w:br/>
      </w:r>
    </w:p>
    <w:p>
      <w:r>
        <w:t>Answer:  B: 70.0% at the proximal end and 94.8% at the distal end.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