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Differential Localization and Expression of CD36 Protein in Kidneys of Diabetic Mice with Glomerulopathy and of Humans with DNP(A and B) Indirect double-immunofluorescence labeling of kidney sections from non-diabetic control (A) and diabetic (B) mice with anti-CD36 (green) and proximal tubular marker anti-aquaporin1 (red).(C and D) Double labeling of non-diabetic control mice with anti-CD36 (green) and loop-of-Henle marker sodium potassium chloride cotransporter anti-NKCC (red) (C) and collecting duct marker aquaporin2 (red) (D) (arrow depicts colocalization of anti-CD36 and anti-aquaporin2 staining).(E and F) Double labeling of human kidney sections from control individuals (E) and individuals with diabetes with DNP (F) using anti-CD36 (green) and anti-aquaporin1 (red).(G) Higher-magnification image of (F) with arrows depicting colocalization of anti-CD36 and anti-aquaporin1. (Note that anti-CD36 labeling is heterogeneous: staining is isolated proximal tubular cells.)(H–J) Representative images of anti-CD36 immunoperoxidase staining of sections of normal human kidney (H), human kidney with DNP (I), and human kidney with FSGS (J). Arrow in (I) depicts proximal tubular epithelial staining.(K) CD36 PTEC expression score derived from blinded, semi-quantitative analysis of distribution and intensity of proximal tubular CD36 staining of human biopsy samples from ten normal control, ten DNP, and ten FSGS kidneys and the result shown on a dot plot. Significance was calculated by Wilcoxon Rank Sum Test, and PTEC scores for DNP kidneys were significantly different from those of FSGS kidneys and normal human kidneys.</w:t>
        <w:br/>
      </w:r>
    </w:p>
    <w:p>
      <w:r>
        <w:t xml:space="preserve">Question:  Which markers are used to label specific kidney segments in the mouse model? </w:t>
        <w:br/>
        <w:t xml:space="preserve"> </w:t>
        <w:br/>
        <w:t xml:space="preserve">A: NKCC and aquaporin2. </w:t>
        <w:br/>
        <w:t xml:space="preserve">B: Aquaporin1 and aquaporin2. </w:t>
        <w:br/>
        <w:t xml:space="preserve">C: NKCC and aquaporin1. </w:t>
        <w:br/>
        <w:t xml:space="preserve">D: CD36 and aquaporin1. </w:t>
        <w:br/>
      </w:r>
    </w:p>
    <w:p>
      <w:r>
        <w:t>Answer:  C: NKCC and aquaporin1.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