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Differential Localization and Expression of CD36 Protein in Kidneys of Diabetic Mice with Glomerulopathy and of Humans with DNP(A and B) Indirect double-immunofluorescence labeling of kidney sections from non-diabetic control (A) and diabetic (B) mice with anti-CD36 (green) and proximal tubular marker anti-aquaporin1 (red).(C and D) Double labeling of non-diabetic control mice with anti-CD36 (green) and loop-of-Henle marker sodium potassium chloride cotransporter anti-NKCC (red) (C) and collecting duct marker aquaporin2 (red) (D) (arrow depicts colocalization of anti-CD36 and anti-aquaporin2 staining).(E and F) Double labeling of human kidney sections from control individuals (E) and individuals with diabetes with DNP (F) using anti-CD36 (green) and anti-aquaporin1 (red).(G) Higher-magnification image of (F) with arrows depicting colocalization of anti-CD36 and anti-aquaporin1. (Note that anti-CD36 labeling is heterogeneous: staining is isolated proximal tubular cells.)(H–J) Representative images of anti-CD36 immunoperoxidase staining of sections of normal human kidney (H), human kidney with DNP (I), and human kidney with FSGS (J). Arrow in (I) depicts proximal tubular epithelial staining.(K) CD36 PTEC expression score derived from blinded, semi-quantitative analysis of distribution and intensity of proximal tubular CD36 staining of human biopsy samples from ten normal control, ten DNP, and ten FSGS kidneys and the result shown on a dot plot. Significance was calculated by Wilcoxon Rank Sum Test, and PTEC scores for DNP kidneys were significantly different from those of FSGS kidneys and normal human kidneys.</w:t>
        <w:br/>
      </w:r>
    </w:p>
    <w:p>
      <w:r>
        <w:t xml:space="preserve">Question:  Which marker is used to label the proximal tubular epithelial cells in human kidneys? </w:t>
        <w:br/>
        <w:t xml:space="preserve"> </w:t>
        <w:br/>
        <w:t xml:space="preserve">A: NKCC. </w:t>
        <w:br/>
        <w:t xml:space="preserve">B: Aquaporin2. </w:t>
        <w:br/>
        <w:t xml:space="preserve">C: Aquaporin1. </w:t>
        <w:br/>
        <w:t xml:space="preserve">D: CD36. </w:t>
        <w:br/>
      </w:r>
    </w:p>
    <w:p>
      <w:r>
        <w:t>Answer:  C: Aquaporin1.</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