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Differential Localization and Expression of CD36 Protein in Kidneys of Diabetic Mice with Glomerulopathy and of Humans with DNP(A and B) Indirect double-immunofluorescence labeling of kidney sections from non-diabetic control (A) and diabetic (B) mice with anti-CD36 (green) and proximal tubular marker anti-aquaporin1 (red).(C and D) Double labeling of non-diabetic control mice with anti-CD36 (green) and loop-of-Henle marker sodium potassium chloride cotransporter anti-NKCC (red) (C) and collecting duct marker aquaporin2 (red) (D) (arrow depicts colocalization of anti-CD36 and anti-aquaporin2 staining).(E and F) Double labeling of human kidney sections from control individuals (E) and individuals with diabetes with DNP (F) using anti-CD36 (green) and anti-aquaporin1 (red).(G) Higher-magnification image of (F) with arrows depicting colocalization of anti-CD36 and anti-aquaporin1. (Note that anti-CD36 labeling is heterogeneous: staining is isolated proximal tubular cells.)(H–J) Representative images of anti-CD36 immunoperoxidase staining of sections of normal human kidney (H), human kidney with DNP (I), and human kidney with FSGS (J). Arrow in (I) depicts proximal tubular epithelial staining.(K) CD36 PTEC expression score derived from blinded, semi-quantitative analysis of distribution and intensity of proximal tubular CD36 staining of human biopsy samples from ten normal control, ten DNP, and ten FSGS kidneys and the result shown on a dot plot. Significance was calculated by Wilcoxon Rank Sum Test, and PTEC scores for DNP kidneys were significantly different from those of FSGS kidneys and normal human kidneys.</w:t>
        <w:br/>
      </w:r>
    </w:p>
    <w:p>
      <w:r>
        <w:t xml:space="preserve">Question:  What is the method used to evaluate CD36 expression in human biopsy samples? </w:t>
        <w:br/>
        <w:t xml:space="preserve"> </w:t>
        <w:br/>
        <w:t xml:space="preserve">A: Immunoperoxidase. </w:t>
        <w:br/>
        <w:t xml:space="preserve">B: Indirect double-immunofluorescence labeling. </w:t>
        <w:br/>
        <w:t xml:space="preserve">C: Western blotting. </w:t>
        <w:br/>
        <w:t xml:space="preserve">D: Polymerase Chain Reaction (PCR). </w:t>
        <w:br/>
      </w:r>
    </w:p>
    <w:p>
      <w:r>
        <w:t>Answer:  A: Immunoperoxidase.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