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2B27C5">
      <w:pPr>
        <w:pStyle w:val="2"/>
        <w:spacing w:before="312" w:after="249"/>
      </w:pPr>
      <w:r>
        <w:rPr>
          <w:rFonts w:hint="eastAsia"/>
        </w:rPr>
        <w:t>（软件）开放式架构阶段性学习报告</w:t>
      </w:r>
    </w:p>
    <w:p w14:paraId="74A1974B">
      <w:pPr>
        <w:pStyle w:val="3"/>
        <w:numPr>
          <w:ilvl w:val="0"/>
          <w:numId w:val="1"/>
        </w:numPr>
      </w:pPr>
      <w:r>
        <w:rPr>
          <w:rFonts w:hint="eastAsia"/>
        </w:rPr>
        <w:t>当前学习思路与进度</w:t>
      </w:r>
    </w:p>
    <w:p w14:paraId="76360A36">
      <w:pPr>
        <w:pStyle w:val="3"/>
        <w:numPr>
          <w:ilvl w:val="0"/>
          <w:numId w:val="1"/>
        </w:numPr>
      </w:pPr>
      <w:r>
        <w:rPr>
          <w:rFonts w:hint="eastAsia"/>
        </w:rPr>
        <w:t>软件开放式架构的定义与内涵</w:t>
      </w:r>
    </w:p>
    <w:p w14:paraId="12329E19">
      <w:pPr>
        <w:spacing w:line="300" w:lineRule="auto"/>
        <w:ind w:firstLine="480" w:firstLineChars="200"/>
        <w:rPr>
          <w:rFonts w:ascii="仿宋" w:hAnsi="仿宋" w:eastAsia="仿宋" w:cs="仿宋"/>
        </w:rPr>
      </w:pPr>
      <w:r>
        <w:rPr>
          <w:rFonts w:hint="eastAsia" w:ascii="仿宋" w:hAnsi="仿宋" w:eastAsia="仿宋" w:cs="仿宋"/>
        </w:rPr>
        <w:t>未找到软件开放式架构具体定义。推测其来自于开放架构、开放系统架构等相似概念，可从相似概念（开放架构、开放式架构等）的定义和相关具体实践（FACE）中理解其内涵。</w:t>
      </w:r>
    </w:p>
    <w:p w14:paraId="3AE7EEE3">
      <w:pPr>
        <w:spacing w:line="300" w:lineRule="auto"/>
        <w:ind w:firstLine="480" w:firstLineChars="200"/>
        <w:rPr>
          <w:rFonts w:ascii="仿宋" w:hAnsi="仿宋" w:eastAsia="仿宋" w:cs="仿宋"/>
        </w:rPr>
      </w:pPr>
      <w:r>
        <w:rPr>
          <w:rFonts w:hint="eastAsia" w:ascii="仿宋" w:hAnsi="仿宋" w:eastAsia="仿宋" w:cs="仿宋"/>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6EC45114">
      <w:pPr>
        <w:spacing w:line="300" w:lineRule="auto"/>
        <w:ind w:firstLine="480" w:firstLineChars="200"/>
        <w:rPr>
          <w:rFonts w:ascii="仿宋" w:hAnsi="仿宋" w:eastAsia="仿宋" w:cs="仿宋"/>
        </w:rPr>
      </w:pPr>
      <w:r>
        <w:rPr>
          <w:rFonts w:hint="eastAsia" w:ascii="仿宋" w:hAnsi="仿宋" w:eastAsia="仿宋" w:cs="仿宋"/>
        </w:rPr>
        <w:t>了解到了MOSA的相关实践中，FACE是主要面向软件领域的，其所推行的架构可能更符合我们所提的“软件开放式架构”，对于FACE的学习有待继续深化总结，故此次先看相似定义。</w:t>
      </w:r>
    </w:p>
    <w:p w14:paraId="7C676B91">
      <w:pPr>
        <w:pStyle w:val="4"/>
      </w:pPr>
      <w:r>
        <w:rPr>
          <w:rFonts w:hint="eastAsia"/>
        </w:rPr>
        <w:t>2.1相似定义：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7A70C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6968AE5">
            <w:pPr>
              <w:jc w:val="center"/>
              <w:rPr>
                <w:sz w:val="21"/>
                <w:szCs w:val="21"/>
              </w:rPr>
            </w:pPr>
            <w:r>
              <w:rPr>
                <w:rFonts w:hint="eastAsia"/>
                <w:sz w:val="21"/>
                <w:szCs w:val="21"/>
              </w:rPr>
              <w:t>名称</w:t>
            </w:r>
          </w:p>
        </w:tc>
        <w:tc>
          <w:tcPr>
            <w:tcW w:w="5711" w:type="dxa"/>
            <w:vAlign w:val="center"/>
          </w:tcPr>
          <w:p w14:paraId="785B3859">
            <w:pPr>
              <w:jc w:val="center"/>
              <w:rPr>
                <w:sz w:val="21"/>
                <w:szCs w:val="21"/>
              </w:rPr>
            </w:pPr>
            <w:r>
              <w:rPr>
                <w:rFonts w:hint="eastAsia"/>
                <w:sz w:val="21"/>
                <w:szCs w:val="21"/>
              </w:rPr>
              <w:t>定义</w:t>
            </w:r>
          </w:p>
        </w:tc>
        <w:tc>
          <w:tcPr>
            <w:tcW w:w="1502" w:type="dxa"/>
            <w:vAlign w:val="center"/>
          </w:tcPr>
          <w:p w14:paraId="5E8DA145">
            <w:pPr>
              <w:jc w:val="center"/>
              <w:rPr>
                <w:sz w:val="21"/>
                <w:szCs w:val="21"/>
              </w:rPr>
            </w:pPr>
            <w:r>
              <w:rPr>
                <w:rFonts w:hint="eastAsia"/>
                <w:sz w:val="21"/>
                <w:szCs w:val="21"/>
              </w:rPr>
              <w:t>来源</w:t>
            </w:r>
          </w:p>
        </w:tc>
      </w:tr>
      <w:tr w14:paraId="27806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537B4489">
            <w:pPr>
              <w:rPr>
                <w:sz w:val="21"/>
                <w:szCs w:val="21"/>
              </w:rPr>
            </w:pPr>
            <w:r>
              <w:rPr>
                <w:sz w:val="21"/>
                <w:szCs w:val="21"/>
              </w:rPr>
              <w:t>A</w:t>
            </w:r>
            <w:r>
              <w:rPr>
                <w:rFonts w:hint="eastAsia"/>
                <w:sz w:val="21"/>
                <w:szCs w:val="21"/>
              </w:rPr>
              <w:t>rchitecture(架构)</w:t>
            </w:r>
          </w:p>
          <w:p w14:paraId="3B010C51">
            <w:pPr>
              <w:rPr>
                <w:sz w:val="21"/>
                <w:szCs w:val="21"/>
              </w:rPr>
            </w:pPr>
          </w:p>
        </w:tc>
        <w:tc>
          <w:tcPr>
            <w:tcW w:w="5711" w:type="dxa"/>
            <w:vAlign w:val="center"/>
          </w:tcPr>
          <w:p w14:paraId="32426362">
            <w:pPr>
              <w:rPr>
                <w:sz w:val="21"/>
                <w:szCs w:val="21"/>
              </w:rPr>
            </w:pPr>
            <w:r>
              <w:rPr>
                <w:sz w:val="21"/>
                <w:szCs w:val="21"/>
              </w:rPr>
              <w:t>The structure of components, their relationships, and the principles and guidelines governing their design and evolution over time.</w:t>
            </w:r>
          </w:p>
          <w:p w14:paraId="37EB65EB">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5CB1AE81">
            <w:pPr>
              <w:adjustRightInd w:val="0"/>
              <w:snapToGrid w:val="0"/>
              <w:spacing w:line="560" w:lineRule="exact"/>
              <w:rPr>
                <w:sz w:val="21"/>
                <w:szCs w:val="21"/>
              </w:rPr>
            </w:pPr>
            <w:r>
              <w:rPr>
                <w:rFonts w:hint="eastAsia"/>
                <w:sz w:val="21"/>
                <w:szCs w:val="21"/>
              </w:rPr>
              <w:t>DAU/glossary</w:t>
            </w:r>
          </w:p>
        </w:tc>
      </w:tr>
      <w:tr w14:paraId="735BF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03BB1E08">
            <w:pPr>
              <w:rPr>
                <w:sz w:val="21"/>
                <w:szCs w:val="21"/>
              </w:rPr>
            </w:pPr>
            <w:r>
              <w:rPr>
                <w:rFonts w:hint="eastAsia"/>
                <w:sz w:val="21"/>
                <w:szCs w:val="21"/>
              </w:rPr>
              <w:t>Open Architecture</w:t>
            </w:r>
          </w:p>
          <w:p w14:paraId="3C7BD154">
            <w:pPr>
              <w:rPr>
                <w:sz w:val="21"/>
                <w:szCs w:val="21"/>
              </w:rPr>
            </w:pPr>
            <w:r>
              <w:rPr>
                <w:rFonts w:hint="eastAsia"/>
                <w:sz w:val="21"/>
                <w:szCs w:val="21"/>
              </w:rPr>
              <w:t>(开放架构)</w:t>
            </w:r>
          </w:p>
        </w:tc>
        <w:tc>
          <w:tcPr>
            <w:tcW w:w="5711" w:type="dxa"/>
            <w:vAlign w:val="center"/>
          </w:tcPr>
          <w:p w14:paraId="751A54BC">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0E31AC9B">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22B776F9">
            <w:pPr>
              <w:adjustRightInd w:val="0"/>
              <w:snapToGrid w:val="0"/>
              <w:spacing w:line="560" w:lineRule="exact"/>
              <w:rPr>
                <w:sz w:val="21"/>
                <w:szCs w:val="21"/>
              </w:rPr>
            </w:pPr>
            <w:r>
              <w:rPr>
                <w:rFonts w:hint="eastAsia"/>
                <w:sz w:val="21"/>
                <w:szCs w:val="21"/>
              </w:rPr>
              <w:t>DAU/glossary</w:t>
            </w:r>
          </w:p>
        </w:tc>
      </w:tr>
      <w:tr w14:paraId="58AD1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B4FCD73">
            <w:pPr>
              <w:rPr>
                <w:sz w:val="21"/>
                <w:szCs w:val="21"/>
              </w:rPr>
            </w:pPr>
            <w:r>
              <w:rPr>
                <w:sz w:val="21"/>
                <w:szCs w:val="21"/>
              </w:rPr>
              <w:t>Open Standards</w:t>
            </w:r>
          </w:p>
          <w:p w14:paraId="2F89784A">
            <w:pPr>
              <w:rPr>
                <w:sz w:val="21"/>
                <w:szCs w:val="21"/>
              </w:rPr>
            </w:pPr>
            <w:r>
              <w:rPr>
                <w:rFonts w:hint="eastAsia"/>
                <w:sz w:val="21"/>
                <w:szCs w:val="21"/>
              </w:rPr>
              <w:t>(开放标准)</w:t>
            </w:r>
          </w:p>
        </w:tc>
        <w:tc>
          <w:tcPr>
            <w:tcW w:w="5711" w:type="dxa"/>
            <w:vAlign w:val="center"/>
          </w:tcPr>
          <w:p w14:paraId="47D87B9C">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type="textWrapping"/>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570AE983">
            <w:pPr>
              <w:adjustRightInd w:val="0"/>
              <w:snapToGrid w:val="0"/>
              <w:spacing w:line="560" w:lineRule="exact"/>
              <w:rPr>
                <w:sz w:val="21"/>
                <w:szCs w:val="21"/>
              </w:rPr>
            </w:pPr>
            <w:r>
              <w:rPr>
                <w:rFonts w:hint="eastAsia"/>
                <w:sz w:val="21"/>
                <w:szCs w:val="21"/>
              </w:rPr>
              <w:t>DAU/glossary</w:t>
            </w:r>
          </w:p>
        </w:tc>
      </w:tr>
      <w:tr w14:paraId="1864C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03889BBC">
            <w:pPr>
              <w:rPr>
                <w:sz w:val="21"/>
                <w:szCs w:val="21"/>
              </w:rPr>
            </w:pPr>
            <w:r>
              <w:rPr>
                <w:rFonts w:hint="eastAsia"/>
                <w:sz w:val="21"/>
                <w:szCs w:val="21"/>
              </w:rPr>
              <w:t>Open System</w:t>
            </w:r>
          </w:p>
          <w:p w14:paraId="2ACB2329">
            <w:pPr>
              <w:rPr>
                <w:sz w:val="21"/>
                <w:szCs w:val="21"/>
              </w:rPr>
            </w:pPr>
            <w:r>
              <w:rPr>
                <w:rFonts w:hint="eastAsia"/>
                <w:sz w:val="21"/>
                <w:szCs w:val="21"/>
              </w:rPr>
              <w:t>(开放系统)</w:t>
            </w:r>
          </w:p>
        </w:tc>
        <w:tc>
          <w:tcPr>
            <w:tcW w:w="5711" w:type="dxa"/>
            <w:vAlign w:val="center"/>
          </w:tcPr>
          <w:p w14:paraId="4E10A7A6">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6FFC5748">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3EAD460A">
            <w:pPr>
              <w:adjustRightInd w:val="0"/>
              <w:snapToGrid w:val="0"/>
              <w:spacing w:line="560" w:lineRule="exact"/>
              <w:rPr>
                <w:sz w:val="21"/>
                <w:szCs w:val="21"/>
              </w:rPr>
            </w:pPr>
            <w:r>
              <w:rPr>
                <w:rFonts w:hint="eastAsia"/>
                <w:sz w:val="21"/>
                <w:szCs w:val="21"/>
              </w:rPr>
              <w:t>DAU/glossary</w:t>
            </w:r>
          </w:p>
        </w:tc>
      </w:tr>
      <w:tr w14:paraId="64B67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6C7C07AE">
            <w:pPr>
              <w:rPr>
                <w:sz w:val="21"/>
                <w:szCs w:val="21"/>
              </w:rPr>
            </w:pPr>
            <w:r>
              <w:rPr>
                <w:sz w:val="21"/>
                <w:szCs w:val="21"/>
              </w:rPr>
              <w:t>Open Systems Architecture(OSA)</w:t>
            </w:r>
            <w:r>
              <w:rPr>
                <w:sz w:val="21"/>
                <w:szCs w:val="21"/>
              </w:rPr>
              <w:br w:type="textWrapping"/>
            </w:r>
            <w:r>
              <w:rPr>
                <w:rFonts w:hint="eastAsia"/>
                <w:sz w:val="21"/>
                <w:szCs w:val="21"/>
              </w:rPr>
              <w:t>(开放系统架构)</w:t>
            </w:r>
          </w:p>
        </w:tc>
        <w:tc>
          <w:tcPr>
            <w:tcW w:w="5711" w:type="dxa"/>
            <w:vAlign w:val="center"/>
          </w:tcPr>
          <w:p w14:paraId="6D3F8B87">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39D8BAD8">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4A84D399">
            <w:pPr>
              <w:adjustRightInd w:val="0"/>
              <w:snapToGrid w:val="0"/>
              <w:spacing w:line="560" w:lineRule="exact"/>
              <w:rPr>
                <w:sz w:val="21"/>
                <w:szCs w:val="21"/>
              </w:rPr>
            </w:pPr>
            <w:r>
              <w:rPr>
                <w:rFonts w:hint="eastAsia"/>
                <w:sz w:val="21"/>
                <w:szCs w:val="21"/>
              </w:rPr>
              <w:t>DAU/glossary</w:t>
            </w:r>
          </w:p>
        </w:tc>
      </w:tr>
      <w:tr w14:paraId="04430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7800258">
            <w:pPr>
              <w:rPr>
                <w:sz w:val="21"/>
                <w:szCs w:val="21"/>
              </w:rPr>
            </w:pPr>
            <w:r>
              <w:rPr>
                <w:rFonts w:hint="eastAsia"/>
                <w:sz w:val="21"/>
                <w:szCs w:val="21"/>
              </w:rPr>
              <w:t>OSA</w:t>
            </w:r>
          </w:p>
        </w:tc>
        <w:tc>
          <w:tcPr>
            <w:tcW w:w="5711" w:type="dxa"/>
            <w:vAlign w:val="center"/>
          </w:tcPr>
          <w:p w14:paraId="14E6C04A">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p>
          <w:p w14:paraId="736B93F2">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0117AC8B">
            <w:pPr>
              <w:adjustRightInd w:val="0"/>
              <w:snapToGrid w:val="0"/>
              <w:spacing w:line="560" w:lineRule="exact"/>
              <w:rPr>
                <w:sz w:val="21"/>
                <w:szCs w:val="21"/>
              </w:rPr>
            </w:pPr>
            <w:r>
              <w:rPr>
                <w:rFonts w:hint="eastAsia"/>
                <w:sz w:val="21"/>
                <w:szCs w:val="21"/>
              </w:rPr>
              <w:t>MIL-STD-499B</w:t>
            </w:r>
          </w:p>
        </w:tc>
      </w:tr>
      <w:tr w14:paraId="7D486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B60A919">
            <w:pPr>
              <w:rPr>
                <w:sz w:val="21"/>
                <w:szCs w:val="21"/>
              </w:rPr>
            </w:pPr>
            <w:r>
              <w:rPr>
                <w:sz w:val="21"/>
                <w:szCs w:val="21"/>
              </w:rPr>
              <w:t>Modular Open Systems Approach</w:t>
            </w:r>
            <w:r>
              <w:rPr>
                <w:rFonts w:hint="eastAsia"/>
                <w:sz w:val="21"/>
                <w:szCs w:val="21"/>
              </w:rPr>
              <w:t>(MOSA)</w:t>
            </w:r>
          </w:p>
          <w:p w14:paraId="6643D651">
            <w:pPr>
              <w:rPr>
                <w:sz w:val="21"/>
                <w:szCs w:val="21"/>
              </w:rPr>
            </w:pPr>
            <w:r>
              <w:rPr>
                <w:rFonts w:hint="eastAsia"/>
                <w:sz w:val="21"/>
                <w:szCs w:val="21"/>
              </w:rPr>
              <w:t>(模块化开放系统方法)</w:t>
            </w:r>
          </w:p>
        </w:tc>
        <w:tc>
          <w:tcPr>
            <w:tcW w:w="5711" w:type="dxa"/>
            <w:vAlign w:val="center"/>
          </w:tcPr>
          <w:p w14:paraId="5381BEC0">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337F9B53">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4176953F">
            <w:pPr>
              <w:adjustRightInd w:val="0"/>
              <w:snapToGrid w:val="0"/>
              <w:spacing w:line="560" w:lineRule="exact"/>
              <w:rPr>
                <w:sz w:val="21"/>
                <w:szCs w:val="21"/>
              </w:rPr>
            </w:pPr>
            <w:r>
              <w:rPr>
                <w:rFonts w:hint="eastAsia"/>
                <w:sz w:val="21"/>
                <w:szCs w:val="21"/>
              </w:rPr>
              <w:t>DAU/glossary</w:t>
            </w:r>
          </w:p>
        </w:tc>
      </w:tr>
      <w:tr w14:paraId="2EABB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5CA783C5">
            <w:pPr>
              <w:rPr>
                <w:sz w:val="21"/>
                <w:szCs w:val="21"/>
              </w:rPr>
            </w:pPr>
            <w:r>
              <w:rPr>
                <w:rFonts w:hint="eastAsia"/>
                <w:sz w:val="21"/>
                <w:szCs w:val="21"/>
              </w:rPr>
              <w:t>MOSA</w:t>
            </w:r>
          </w:p>
        </w:tc>
        <w:tc>
          <w:tcPr>
            <w:tcW w:w="5711" w:type="dxa"/>
            <w:vAlign w:val="center"/>
          </w:tcPr>
          <w:p w14:paraId="2176FE80">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6D0E377C">
            <w:pPr>
              <w:adjustRightInd w:val="0"/>
              <w:snapToGrid w:val="0"/>
              <w:ind w:firstLine="420" w:firstLineChars="200"/>
              <w:rPr>
                <w:sz w:val="21"/>
                <w:szCs w:val="21"/>
              </w:rPr>
            </w:pPr>
            <w:r>
              <w:rPr>
                <w:sz w:val="21"/>
                <w:szCs w:val="21"/>
              </w:rPr>
              <w:t>(A)employs a modular design that uses modular system interfaces between major systems, major system components and modular systems;</w:t>
            </w:r>
          </w:p>
          <w:p w14:paraId="557378B9">
            <w:pPr>
              <w:adjustRightInd w:val="0"/>
              <w:snapToGrid w:val="0"/>
              <w:ind w:firstLine="420" w:firstLineChars="200"/>
              <w:rPr>
                <w:sz w:val="21"/>
                <w:szCs w:val="21"/>
              </w:rPr>
            </w:pPr>
            <w:r>
              <w:rPr>
                <w:sz w:val="21"/>
                <w:szCs w:val="21"/>
              </w:rPr>
              <w:t>(B)is subjected to verification to ensure that relevant modular system interfaces—</w:t>
            </w:r>
          </w:p>
          <w:p w14:paraId="49EB219B">
            <w:pPr>
              <w:adjustRightInd w:val="0"/>
              <w:snapToGrid w:val="0"/>
              <w:ind w:left="420" w:firstLine="420" w:firstLineChars="200"/>
              <w:rPr>
                <w:sz w:val="21"/>
                <w:szCs w:val="21"/>
              </w:rPr>
            </w:pPr>
            <w:r>
              <w:rPr>
                <w:sz w:val="21"/>
                <w:szCs w:val="21"/>
              </w:rPr>
              <w:t>(i)comply with, if available and suitable, widely supported and consensus-based standards; or</w:t>
            </w:r>
          </w:p>
          <w:p w14:paraId="5C750D53">
            <w:pPr>
              <w:adjustRightInd w:val="0"/>
              <w:snapToGrid w:val="0"/>
              <w:ind w:left="420" w:firstLine="420" w:firstLineChars="20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118D1713">
            <w:pPr>
              <w:adjustRightInd w:val="0"/>
              <w:snapToGrid w:val="0"/>
              <w:ind w:left="840" w:firstLine="420" w:firstLineChars="20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6CBAF949">
            <w:pPr>
              <w:adjustRightInd w:val="0"/>
              <w:snapToGrid w:val="0"/>
              <w:ind w:left="840" w:firstLine="420" w:firstLineChars="200"/>
              <w:rPr>
                <w:sz w:val="21"/>
                <w:szCs w:val="21"/>
              </w:rPr>
            </w:pPr>
            <w:r>
              <w:rPr>
                <w:sz w:val="21"/>
                <w:szCs w:val="21"/>
              </w:rPr>
              <w:t>(II)a machine-readable definition of the relationship between the delivered interface and existing common standards or interfaces available in Department interface repositories; and</w:t>
            </w:r>
          </w:p>
          <w:p w14:paraId="5BFA4700">
            <w:pPr>
              <w:adjustRightInd w:val="0"/>
              <w:snapToGrid w:val="0"/>
              <w:ind w:left="840" w:firstLine="420" w:firstLineChars="200"/>
              <w:rPr>
                <w:sz w:val="21"/>
                <w:szCs w:val="21"/>
              </w:rPr>
            </w:pPr>
            <w:r>
              <w:rPr>
                <w:sz w:val="21"/>
                <w:szCs w:val="21"/>
              </w:rPr>
              <w:t>(III)documentation with functional descriptions of software-defined interfaces, conveying semantic meaning of interface elements, such as the function of a given interface field;</w:t>
            </w:r>
          </w:p>
          <w:p w14:paraId="2B82B0FB">
            <w:pPr>
              <w:adjustRightInd w:val="0"/>
              <w:snapToGrid w:val="0"/>
              <w:ind w:firstLine="420" w:firstLineChars="20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4FCC48D3">
            <w:pPr>
              <w:adjustRightInd w:val="0"/>
              <w:snapToGrid w:val="0"/>
              <w:ind w:left="360" w:firstLine="420" w:firstLineChars="200"/>
              <w:rPr>
                <w:sz w:val="21"/>
                <w:szCs w:val="21"/>
              </w:rPr>
            </w:pPr>
            <w:r>
              <w:rPr>
                <w:sz w:val="21"/>
                <w:szCs w:val="21"/>
              </w:rPr>
              <w:t>(i)significant cost savings or avoidance;</w:t>
            </w:r>
          </w:p>
          <w:p w14:paraId="6B12B6F8">
            <w:pPr>
              <w:adjustRightInd w:val="0"/>
              <w:snapToGrid w:val="0"/>
              <w:ind w:left="360" w:firstLine="420" w:firstLineChars="200"/>
              <w:rPr>
                <w:sz w:val="21"/>
                <w:szCs w:val="21"/>
              </w:rPr>
            </w:pPr>
            <w:r>
              <w:rPr>
                <w:sz w:val="21"/>
                <w:szCs w:val="21"/>
              </w:rPr>
              <w:t>(ii)schedule reduction;</w:t>
            </w:r>
          </w:p>
          <w:p w14:paraId="48022CA6">
            <w:pPr>
              <w:adjustRightInd w:val="0"/>
              <w:snapToGrid w:val="0"/>
              <w:ind w:left="360" w:firstLine="420" w:firstLineChars="200"/>
              <w:rPr>
                <w:sz w:val="21"/>
                <w:szCs w:val="21"/>
              </w:rPr>
            </w:pPr>
            <w:r>
              <w:rPr>
                <w:sz w:val="21"/>
                <w:szCs w:val="21"/>
              </w:rPr>
              <w:t>(iii)opportunities for technical upgrades;</w:t>
            </w:r>
          </w:p>
          <w:p w14:paraId="1677AD28">
            <w:pPr>
              <w:adjustRightInd w:val="0"/>
              <w:snapToGrid w:val="0"/>
              <w:ind w:left="360" w:firstLine="420" w:firstLineChars="200"/>
              <w:rPr>
                <w:sz w:val="21"/>
                <w:szCs w:val="21"/>
              </w:rPr>
            </w:pPr>
            <w:r>
              <w:rPr>
                <w:sz w:val="21"/>
                <w:szCs w:val="21"/>
              </w:rPr>
              <w:t>(iv)increased interoperability, including system of systems interoperability and mission integration; or</w:t>
            </w:r>
          </w:p>
          <w:p w14:paraId="083A8AA3">
            <w:pPr>
              <w:adjustRightInd w:val="0"/>
              <w:snapToGrid w:val="0"/>
              <w:ind w:left="360" w:firstLine="420" w:firstLineChars="200"/>
              <w:rPr>
                <w:sz w:val="21"/>
                <w:szCs w:val="21"/>
              </w:rPr>
            </w:pPr>
            <w:r>
              <w:rPr>
                <w:sz w:val="21"/>
                <w:szCs w:val="21"/>
              </w:rPr>
              <w:t>(v)other benefits during the sustainment phase of a major weapon system; and</w:t>
            </w:r>
          </w:p>
          <w:p w14:paraId="48E53E0B">
            <w:pPr>
              <w:adjustRightInd w:val="0"/>
              <w:snapToGrid w:val="0"/>
              <w:ind w:firstLine="420" w:firstLineChars="200"/>
              <w:rPr>
                <w:sz w:val="21"/>
                <w:szCs w:val="21"/>
              </w:rPr>
            </w:pPr>
            <w:r>
              <w:rPr>
                <w:sz w:val="21"/>
                <w:szCs w:val="21"/>
              </w:rPr>
              <w:t>(D)complies with the technical data rights set forth in sections 3771 through 3775 of this title.</w:t>
            </w:r>
          </w:p>
          <w:p w14:paraId="1D8A19FE">
            <w:pPr>
              <w:rPr>
                <w:sz w:val="21"/>
                <w:szCs w:val="21"/>
              </w:rPr>
            </w:pPr>
            <w:r>
              <w:rPr>
                <w:rFonts w:hint="eastAsia"/>
                <w:sz w:val="21"/>
                <w:szCs w:val="21"/>
              </w:rPr>
              <w:t>翻译：</w:t>
            </w:r>
          </w:p>
          <w:p w14:paraId="5613F1A0">
            <w:pPr>
              <w:rPr>
                <w:sz w:val="21"/>
                <w:szCs w:val="21"/>
              </w:rPr>
            </w:pPr>
            <w:r>
              <w:rPr>
                <w:rFonts w:hint="eastAsia"/>
                <w:sz w:val="21"/>
                <w:szCs w:val="21"/>
              </w:rPr>
              <w:t>就重大国防采办项目而言，“模块化开放系统方法” 指一种整合性的业务与技术策略，该策略需满足以下要求：</w:t>
            </w:r>
          </w:p>
          <w:p w14:paraId="5629647C">
            <w:pPr>
              <w:ind w:firstLine="420" w:firstLineChars="200"/>
              <w:rPr>
                <w:sz w:val="21"/>
                <w:szCs w:val="21"/>
              </w:rPr>
            </w:pPr>
            <w:r>
              <w:rPr>
                <w:rFonts w:hint="eastAsia"/>
                <w:sz w:val="21"/>
                <w:szCs w:val="21"/>
              </w:rPr>
              <w:t>（A）采用模块化设计，在主要系统、主要系统组件及模块化系统之间采用模块化系统接口；</w:t>
            </w:r>
          </w:p>
          <w:p w14:paraId="0D00CF54">
            <w:pPr>
              <w:ind w:firstLine="420" w:firstLineChars="200"/>
              <w:rPr>
                <w:sz w:val="21"/>
                <w:szCs w:val="21"/>
              </w:rPr>
            </w:pPr>
            <w:r>
              <w:rPr>
                <w:rFonts w:hint="eastAsia"/>
                <w:sz w:val="21"/>
                <w:szCs w:val="21"/>
              </w:rPr>
              <w:t>（B）需通过验证，以确保相关模块化系统接口符合以下情形之一：</w:t>
            </w:r>
          </w:p>
          <w:p w14:paraId="731E7AAA">
            <w:pPr>
              <w:ind w:left="480" w:leftChars="200" w:firstLine="420" w:firstLineChars="200"/>
              <w:rPr>
                <w:sz w:val="21"/>
                <w:szCs w:val="21"/>
              </w:rPr>
            </w:pPr>
            <w:r>
              <w:rPr>
                <w:rFonts w:hint="eastAsia"/>
                <w:sz w:val="21"/>
                <w:szCs w:val="21"/>
              </w:rPr>
              <w:t>（i）若存在适用的、获得广泛支持且基于共识的标准，则接口需符合此类标准；</w:t>
            </w:r>
          </w:p>
          <w:p w14:paraId="7354D1F4">
            <w:pPr>
              <w:ind w:left="480" w:leftChars="200" w:firstLine="420" w:firstLineChars="200"/>
              <w:rPr>
                <w:sz w:val="21"/>
                <w:szCs w:val="21"/>
              </w:rPr>
            </w:pPr>
            <w:r>
              <w:rPr>
                <w:rFonts w:hint="eastAsia"/>
                <w:sz w:val="21"/>
                <w:szCs w:val="21"/>
              </w:rPr>
              <w:t>（ii）依据《2021 财年威廉・M・（麦克）索恩伯里国防授权法案》第 804 条（a）（2）（B）款规定的要求交付，交付内容包括：</w:t>
            </w:r>
          </w:p>
          <w:p w14:paraId="180763C5">
            <w:pPr>
              <w:ind w:left="960" w:leftChars="400" w:firstLine="420" w:firstLineChars="200"/>
              <w:rPr>
                <w:sz w:val="21"/>
                <w:szCs w:val="21"/>
              </w:rPr>
            </w:pPr>
            <w:r>
              <w:rPr>
                <w:rFonts w:hint="eastAsia"/>
                <w:sz w:val="21"/>
                <w:szCs w:val="21"/>
              </w:rPr>
              <w:t>（I）软件定义的接口语法及属性（具体规定主要子系统与组件之间如何有效传递和接收数值），且需采用机器可读格式；</w:t>
            </w:r>
          </w:p>
          <w:p w14:paraId="6E8B4638">
            <w:pPr>
              <w:ind w:left="960" w:leftChars="400" w:firstLine="420" w:firstLineChars="200"/>
              <w:rPr>
                <w:sz w:val="21"/>
                <w:szCs w:val="21"/>
              </w:rPr>
            </w:pPr>
            <w:r>
              <w:rPr>
                <w:rFonts w:hint="eastAsia"/>
                <w:sz w:val="21"/>
                <w:szCs w:val="21"/>
              </w:rPr>
              <w:t>（II）机器可读形式的定义文件，说明所交付接口与现有通用标准或国防部接口库中可用接口之间的关系；</w:t>
            </w:r>
          </w:p>
          <w:p w14:paraId="7011C163">
            <w:pPr>
              <w:ind w:left="960" w:leftChars="400" w:firstLine="420" w:firstLineChars="200"/>
              <w:rPr>
                <w:sz w:val="21"/>
                <w:szCs w:val="21"/>
              </w:rPr>
            </w:pPr>
            <w:r>
              <w:rPr>
                <w:rFonts w:hint="eastAsia"/>
                <w:sz w:val="21"/>
                <w:szCs w:val="21"/>
              </w:rPr>
              <w:t>（III）含软件定义接口功能描述的文档，阐明接口元素的语义（如特定接口字段的功能）；</w:t>
            </w:r>
          </w:p>
          <w:p w14:paraId="7434D44B">
            <w:pPr>
              <w:ind w:firstLine="420" w:firstLineChars="200"/>
              <w:rPr>
                <w:sz w:val="21"/>
                <w:szCs w:val="21"/>
              </w:rPr>
            </w:pPr>
            <w:r>
              <w:rPr>
                <w:rFonts w:hint="eastAsia"/>
                <w:sz w:val="21"/>
                <w:szCs w:val="21"/>
              </w:rPr>
              <w:t>（C）采用的系统架构应能在重大系统平台的全生命周期内，对相应层级可拆分的主要系统组件及模块化系统进行增量式添加、移除或替换，从而为增强竞争与创新创造机会，同时实现以下效果之一：</w:t>
            </w:r>
          </w:p>
          <w:p w14:paraId="29C13FA7">
            <w:pPr>
              <w:ind w:left="960" w:leftChars="400"/>
              <w:rPr>
                <w:sz w:val="21"/>
                <w:szCs w:val="21"/>
              </w:rPr>
            </w:pPr>
            <w:r>
              <w:rPr>
                <w:rFonts w:hint="eastAsia"/>
                <w:sz w:val="21"/>
                <w:szCs w:val="21"/>
              </w:rPr>
              <w:t>（i）显著节省成本或避免成本增加；</w:t>
            </w:r>
            <w:r>
              <w:rPr>
                <w:rFonts w:hint="eastAsia"/>
                <w:sz w:val="21"/>
                <w:szCs w:val="21"/>
              </w:rPr>
              <w:br w:type="textWrapping"/>
            </w:r>
            <w:r>
              <w:rPr>
                <w:rFonts w:hint="eastAsia"/>
                <w:sz w:val="21"/>
                <w:szCs w:val="21"/>
              </w:rPr>
              <w:t>（ii）缩短项目进度；</w:t>
            </w:r>
          </w:p>
          <w:p w14:paraId="75B3ADA0">
            <w:pPr>
              <w:ind w:left="960" w:leftChars="400"/>
              <w:rPr>
                <w:sz w:val="21"/>
                <w:szCs w:val="21"/>
              </w:rPr>
            </w:pPr>
            <w:r>
              <w:rPr>
                <w:rFonts w:hint="eastAsia"/>
                <w:sz w:val="21"/>
                <w:szCs w:val="21"/>
              </w:rPr>
              <w:t>（iii）创造技术升级机会；</w:t>
            </w:r>
          </w:p>
          <w:p w14:paraId="0918C9AA">
            <w:pPr>
              <w:ind w:left="960" w:leftChars="400"/>
              <w:rPr>
                <w:sz w:val="21"/>
                <w:szCs w:val="21"/>
              </w:rPr>
            </w:pPr>
            <w:r>
              <w:rPr>
                <w:rFonts w:hint="eastAsia"/>
                <w:sz w:val="21"/>
                <w:szCs w:val="21"/>
              </w:rPr>
              <w:t>（iv）提升互操作性（包括系统之系统的互操作性及任务整合能力）；</w:t>
            </w:r>
          </w:p>
          <w:p w14:paraId="16FD4006">
            <w:pPr>
              <w:ind w:left="480" w:leftChars="200" w:firstLine="420" w:firstLineChars="200"/>
              <w:rPr>
                <w:sz w:val="21"/>
                <w:szCs w:val="21"/>
              </w:rPr>
            </w:pPr>
            <w:r>
              <w:rPr>
                <w:rFonts w:hint="eastAsia"/>
                <w:sz w:val="21"/>
                <w:szCs w:val="21"/>
              </w:rPr>
              <w:t>（v）为重大武器系统保障阶段带来其他收益；</w:t>
            </w:r>
          </w:p>
          <w:p w14:paraId="0C8DE1AD">
            <w:pPr>
              <w:ind w:firstLine="420" w:firstLineChars="200"/>
              <w:rPr>
                <w:sz w:val="21"/>
                <w:szCs w:val="21"/>
              </w:rPr>
            </w:pPr>
            <w:r>
              <w:rPr>
                <w:rFonts w:hint="eastAsia"/>
                <w:sz w:val="21"/>
                <w:szCs w:val="21"/>
              </w:rPr>
              <w:t>（D）符合本章第 3771 至 3775 条规定的技术数据权利。</w:t>
            </w:r>
          </w:p>
        </w:tc>
        <w:tc>
          <w:tcPr>
            <w:tcW w:w="1502" w:type="dxa"/>
            <w:vAlign w:val="center"/>
          </w:tcPr>
          <w:p w14:paraId="3A1765DE">
            <w:pPr>
              <w:adjustRightInd w:val="0"/>
              <w:snapToGrid w:val="0"/>
              <w:spacing w:line="560" w:lineRule="exact"/>
              <w:rPr>
                <w:sz w:val="21"/>
                <w:szCs w:val="21"/>
              </w:rPr>
            </w:pPr>
            <w:r>
              <w:rPr>
                <w:rFonts w:hint="eastAsia"/>
                <w:sz w:val="21"/>
                <w:szCs w:val="21"/>
              </w:rPr>
              <w:t>10USC§4401</w:t>
            </w:r>
          </w:p>
        </w:tc>
      </w:tr>
    </w:tbl>
    <w:p w14:paraId="00EF9D57">
      <w:pPr>
        <w:pStyle w:val="4"/>
      </w:pPr>
      <w:r>
        <w:rPr>
          <w:rFonts w:hint="eastAsia"/>
        </w:rPr>
        <w:t>2.2定义总结：</w:t>
      </w:r>
    </w:p>
    <w:p w14:paraId="0373CC87">
      <w:pPr>
        <w:spacing w:line="300" w:lineRule="auto"/>
        <w:ind w:firstLine="480" w:firstLineChars="200"/>
        <w:rPr>
          <w:rFonts w:ascii="仿宋" w:hAnsi="仿宋" w:eastAsia="仿宋" w:cs="仿宋"/>
        </w:rPr>
      </w:pPr>
      <w:r>
        <w:rPr>
          <w:rFonts w:hint="eastAsia" w:ascii="仿宋" w:hAnsi="仿宋" w:eastAsia="仿宋" w:cs="仿宋"/>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0C7A1A2F">
      <w:pPr>
        <w:spacing w:line="300" w:lineRule="auto"/>
        <w:rPr>
          <w:rFonts w:hint="eastAsia"/>
        </w:rPr>
      </w:pPr>
      <w:r>
        <w:rPr>
          <w:rFonts w:hint="eastAsia"/>
        </w:rPr>
        <w:drawing>
          <wp:inline distT="0" distB="0" distL="0" distR="0">
            <wp:extent cx="5274310" cy="1202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4310" cy="1202055"/>
                    </a:xfrm>
                    <a:prstGeom prst="rect">
                      <a:avLst/>
                    </a:prstGeom>
                  </pic:spPr>
                </pic:pic>
              </a:graphicData>
            </a:graphic>
          </wp:inline>
        </w:drawing>
      </w:r>
    </w:p>
    <w:p w14:paraId="434B3275">
      <w:pPr>
        <w:spacing w:line="300" w:lineRule="auto"/>
        <w:ind w:firstLine="480" w:firstLineChars="200"/>
        <w:rPr>
          <w:rFonts w:ascii="仿宋" w:hAnsi="仿宋" w:eastAsia="仿宋" w:cs="仿宋"/>
        </w:rPr>
      </w:pPr>
      <w:r>
        <w:rPr>
          <w:rFonts w:hint="eastAsia" w:ascii="仿宋" w:hAnsi="仿宋" w:eastAsia="仿宋" w:cs="仿宋"/>
        </w:rPr>
        <w:t>首先是架构的概念，无论是开放架构、开放系统架构、软件开放式架构，技术架构都属于架构的范畴，架构指组件的结构和关系，以及组件设计和演化的原则与指南，后者容易被忽略。</w:t>
      </w:r>
    </w:p>
    <w:p w14:paraId="36DB819C">
      <w:pPr>
        <w:spacing w:line="300" w:lineRule="auto"/>
        <w:ind w:firstLine="480" w:firstLineChars="200"/>
        <w:rPr>
          <w:rFonts w:ascii="仿宋" w:hAnsi="仿宋" w:eastAsia="仿宋" w:cs="仿宋"/>
        </w:rPr>
      </w:pPr>
      <w:r>
        <w:rPr>
          <w:rFonts w:hint="eastAsia" w:ascii="仿宋" w:hAnsi="仿宋" w:eastAsia="仿宋" w:cs="仿宋"/>
        </w:rPr>
        <w:t>开放系统、开放架构、开放系统架构、模块化开放系统方法，最终指向了对技术架构的要求：</w:t>
      </w:r>
    </w:p>
    <w:p w14:paraId="1E081830">
      <w:pPr>
        <w:numPr>
          <w:ilvl w:val="0"/>
          <w:numId w:val="2"/>
        </w:numPr>
        <w:spacing w:line="300" w:lineRule="auto"/>
        <w:ind w:firstLine="480" w:firstLineChars="200"/>
        <w:rPr>
          <w:rFonts w:ascii="仿宋" w:hAnsi="仿宋" w:eastAsia="仿宋" w:cs="仿宋"/>
        </w:rPr>
      </w:pPr>
      <w:r>
        <w:rPr>
          <w:rFonts w:hint="eastAsia" w:ascii="仿宋" w:hAnsi="仿宋" w:eastAsia="仿宋" w:cs="仿宋"/>
        </w:rPr>
        <w:t>采用或符合标准（standards）；</w:t>
      </w:r>
    </w:p>
    <w:p w14:paraId="3794AD19">
      <w:pPr>
        <w:numPr>
          <w:ilvl w:val="0"/>
          <w:numId w:val="2"/>
        </w:numPr>
        <w:spacing w:line="300" w:lineRule="auto"/>
        <w:ind w:firstLine="480" w:firstLineChars="200"/>
        <w:rPr>
          <w:rFonts w:ascii="仿宋" w:hAnsi="仿宋" w:eastAsia="仿宋" w:cs="仿宋"/>
        </w:rPr>
      </w:pPr>
      <w:r>
        <w:rPr>
          <w:rFonts w:hint="eastAsia" w:ascii="仿宋" w:hAnsi="仿宋" w:eastAsia="仿宋" w:cs="仿宋"/>
        </w:rPr>
        <w:t>支持某些特征的系统结构（system structure）。</w:t>
      </w:r>
    </w:p>
    <w:p w14:paraId="5DC172BE">
      <w:pPr>
        <w:spacing w:line="300" w:lineRule="auto"/>
        <w:ind w:firstLine="480" w:firstLineChars="200"/>
        <w:rPr>
          <w:rFonts w:ascii="仿宋" w:hAnsi="仿宋" w:eastAsia="仿宋" w:cs="仿宋"/>
        </w:rPr>
      </w:pPr>
      <w:r>
        <w:rPr>
          <w:rFonts w:hint="eastAsia" w:ascii="仿宋" w:hAnsi="仿宋" w:eastAsia="仿宋" w:cs="仿宋"/>
        </w:rPr>
        <w:t>标准往往具备以下部分或全部特征：基于共识、广泛接受和支持、由市场或标准组织制定、公认的、支持互操作性、支持可移植性、支持可扩展性、免费或适度许可费。</w:t>
      </w:r>
    </w:p>
    <w:p w14:paraId="615BDAFB">
      <w:pPr>
        <w:spacing w:line="300" w:lineRule="auto"/>
        <w:ind w:firstLine="480" w:firstLineChars="200"/>
        <w:rPr>
          <w:rFonts w:ascii="仿宋" w:hAnsi="仿宋" w:eastAsia="仿宋" w:cs="仿宋"/>
        </w:rPr>
      </w:pPr>
      <w:r>
        <w:rPr>
          <w:rFonts w:hint="eastAsia" w:ascii="仿宋" w:hAnsi="仿宋" w:eastAsia="仿宋" w:cs="仿宋"/>
        </w:rPr>
        <w:t>支持的系统结构具备以下部分或全部特征：松耦合、强内聚、模块化、关键接口发布、完整或相关设计的公开。</w:t>
      </w:r>
    </w:p>
    <w:p w14:paraId="1BECC7F8">
      <w:pPr>
        <w:spacing w:line="300" w:lineRule="auto"/>
        <w:ind w:firstLine="480" w:firstLineChars="200"/>
        <w:rPr>
          <w:rFonts w:ascii="仿宋" w:hAnsi="仿宋" w:eastAsia="仿宋" w:cs="仿宋"/>
        </w:rPr>
      </w:pPr>
      <w:r>
        <w:rPr>
          <w:rFonts w:hint="eastAsia" w:ascii="仿宋" w:hAnsi="仿宋" w:eastAsia="仿宋" w:cs="仿宋"/>
        </w:rPr>
        <w:t>根据定义的学习，对软件开放式架构的认识如下：软件开放式架构是软件开发的一种技术架构。该技术架构在软件开发过程中（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576D4E26">
      <w:pPr>
        <w:pStyle w:val="4"/>
      </w:pPr>
      <w:r>
        <w:rPr>
          <w:rFonts w:hint="eastAsia"/>
        </w:rPr>
        <w:t>2.</w:t>
      </w:r>
      <w:r>
        <w:t>3</w:t>
      </w:r>
      <w:r>
        <w:rPr>
          <w:rFonts w:hint="eastAsia"/>
        </w:rPr>
        <w:t>待办：</w:t>
      </w:r>
    </w:p>
    <w:p w14:paraId="66226A48">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1F7144E8">
      <w:pPr>
        <w:spacing w:line="300" w:lineRule="auto"/>
        <w:ind w:firstLine="480" w:firstLineChars="200"/>
        <w:rPr>
          <w:rFonts w:hint="eastAsia" w:ascii="仿宋" w:hAnsi="仿宋" w:eastAsia="仿宋" w:cs="仿宋"/>
        </w:rPr>
      </w:pPr>
      <w:r>
        <w:rPr>
          <w:rFonts w:hint="eastAsia" w:ascii="仿宋" w:hAnsi="仿宋" w:eastAsia="仿宋" w:cs="仿宋"/>
        </w:rPr>
        <w:t>还需从FACE中学习对软件开放架构的理解，回头再完善。</w:t>
      </w:r>
    </w:p>
    <w:p w14:paraId="34CE3050">
      <w:pPr>
        <w:pStyle w:val="3"/>
        <w:numPr>
          <w:ilvl w:val="0"/>
          <w:numId w:val="1"/>
        </w:numPr>
      </w:pPr>
      <w:r>
        <w:rPr>
          <w:rFonts w:hint="eastAsia"/>
          <w:lang w:val="en-US" w:eastAsia="zh-CN"/>
        </w:rPr>
        <w:t>（软件）开放式架构的收益</w:t>
      </w:r>
    </w:p>
    <w:p w14:paraId="45965E06">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在解决（软件）开放式架构是什么后，首要的问题是解决为什么要发展（软件）开放式架构。这是决定是否要发展软件开放式架构的关键问题之一。但当前的了解主要来源于一些指导性文件，还没有学习真正的实践。</w:t>
      </w:r>
    </w:p>
    <w:p w14:paraId="11B09FED">
      <w:pPr>
        <w:spacing w:line="300" w:lineRule="auto"/>
        <w:ind w:firstLine="480" w:firstLineChars="200"/>
        <w:rPr>
          <w:rFonts w:hint="default" w:ascii="仿宋" w:hAnsi="仿宋" w:eastAsia="仿宋" w:cs="仿宋"/>
          <w:lang w:val="en-US" w:eastAsia="zh-CN"/>
        </w:rPr>
      </w:pPr>
    </w:p>
    <w:p w14:paraId="4F4AD6B5">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的问题软件开放式架构的优势至关重要，是关乎方向性的大问题，</w:t>
      </w:r>
    </w:p>
    <w:p w14:paraId="4E1FF233">
      <w:pPr>
        <w:spacing w:line="300" w:lineRule="auto"/>
        <w:ind w:firstLine="480" w:firstLineChars="200"/>
        <w:rPr>
          <w:rFonts w:hint="eastAsia" w:ascii="仿宋" w:hAnsi="仿宋" w:eastAsia="仿宋" w:cs="仿宋"/>
        </w:rPr>
      </w:pPr>
      <w:r>
        <w:rPr>
          <w:rFonts w:hint="eastAsia" w:ascii="仿宋" w:hAnsi="仿宋" w:eastAsia="仿宋" w:cs="仿宋"/>
        </w:rPr>
        <w:t>还需从FACE中学习对软件开放架构的理解，回头再完善。</w:t>
      </w:r>
    </w:p>
    <w:p w14:paraId="7D44FAFB">
      <w:pPr>
        <w:pStyle w:val="3"/>
        <w:numPr>
          <w:ilvl w:val="0"/>
          <w:numId w:val="1"/>
        </w:numPr>
      </w:pPr>
      <w:r>
        <w:rPr>
          <w:rFonts w:hint="eastAsia"/>
        </w:rPr>
        <w:t>美国发展现状</w:t>
      </w:r>
    </w:p>
    <w:p w14:paraId="090D7347">
      <w:pPr>
        <w:spacing w:line="300" w:lineRule="auto"/>
        <w:ind w:firstLine="480" w:firstLineChars="200"/>
        <w:rPr>
          <w:rFonts w:hint="eastAsia" w:ascii="仿宋" w:hAnsi="仿宋" w:eastAsia="仿宋" w:cs="仿宋"/>
        </w:rPr>
      </w:pPr>
      <w:r>
        <w:rPr>
          <w:rFonts w:hint="eastAsia" w:ascii="仿宋" w:hAnsi="仿宋" w:eastAsia="仿宋" w:cs="仿宋"/>
        </w:rPr>
        <w:t>（虽最终目标是软件开放式架构，但当前调研还处于开放系统架构，还未继续深入到软件。）</w:t>
      </w:r>
    </w:p>
    <w:p w14:paraId="59324148">
      <w:pPr>
        <w:spacing w:line="300" w:lineRule="auto"/>
        <w:ind w:firstLine="480" w:firstLineChars="200"/>
        <w:rPr>
          <w:rFonts w:ascii="仿宋" w:hAnsi="仿宋" w:eastAsia="仿宋" w:cs="仿宋"/>
        </w:rPr>
      </w:pPr>
      <w:r>
        <w:rPr>
          <w:rFonts w:hint="eastAsia" w:ascii="仿宋" w:hAnsi="仿宋" w:eastAsia="仿宋" w:cs="仿宋"/>
        </w:rPr>
        <w:t>美国国防装备领域的开放式架构当前的顶层战略是模块化开放系统方法（MOSA），MOSA已有2</w:t>
      </w:r>
      <w:r>
        <w:rPr>
          <w:rFonts w:ascii="仿宋" w:hAnsi="仿宋" w:eastAsia="仿宋" w:cs="仿宋"/>
        </w:rPr>
        <w:t>0</w:t>
      </w:r>
      <w:r>
        <w:rPr>
          <w:rFonts w:hint="eastAsia" w:ascii="仿宋" w:hAnsi="仿宋" w:eastAsia="仿宋" w:cs="仿宋"/>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2813946F">
      <w:pPr>
        <w:pStyle w:val="4"/>
      </w:pPr>
      <w:r>
        <w:rPr>
          <w:rFonts w:hint="eastAsia"/>
          <w:lang w:val="en-US" w:eastAsia="zh-CN"/>
        </w:rPr>
        <w:t>4</w:t>
      </w:r>
      <w:r>
        <w:rPr>
          <w:rFonts w:hint="eastAsia"/>
        </w:rPr>
        <w:t>.</w:t>
      </w:r>
      <w:r>
        <w:t>1</w:t>
      </w:r>
      <w:r>
        <w:rPr>
          <w:rFonts w:hint="eastAsia"/>
        </w:rPr>
        <w:t>法律：</w:t>
      </w:r>
    </w:p>
    <w:p w14:paraId="281D6C07">
      <w:pPr>
        <w:spacing w:line="300" w:lineRule="auto"/>
        <w:ind w:firstLine="480" w:firstLineChars="200"/>
        <w:rPr>
          <w:rFonts w:ascii="仿宋" w:hAnsi="仿宋" w:eastAsia="仿宋" w:cs="仿宋"/>
        </w:rPr>
      </w:pPr>
      <w:r>
        <w:rPr>
          <w:rFonts w:hint="eastAsia" w:ascii="仿宋" w:hAnsi="仿宋" w:eastAsia="仿宋" w:cs="仿宋"/>
        </w:rPr>
        <w:t>MOSA被写入了美国的法律，采办中被作为采办过程中的强制要求。关于相关法律的调研内容如下图所示。</w:t>
      </w:r>
    </w:p>
    <w:p w14:paraId="7A88C165">
      <w:pPr>
        <w:spacing w:line="300" w:lineRule="auto"/>
        <w:rPr>
          <w:rFonts w:hint="eastAsia" w:ascii="仿宋" w:hAnsi="仿宋" w:eastAsia="仿宋" w:cs="仿宋"/>
        </w:rPr>
      </w:pPr>
      <w:r>
        <w:rPr>
          <w:rFonts w:hint="eastAsia" w:ascii="仿宋" w:hAnsi="仿宋" w:eastAsia="仿宋" w:cs="仿宋"/>
        </w:rPr>
        <w:drawing>
          <wp:inline distT="0" distB="0" distL="0" distR="0">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4310" cy="3296920"/>
                    </a:xfrm>
                    <a:prstGeom prst="rect">
                      <a:avLst/>
                    </a:prstGeom>
                  </pic:spPr>
                </pic:pic>
              </a:graphicData>
            </a:graphic>
          </wp:inline>
        </w:drawing>
      </w:r>
    </w:p>
    <w:p w14:paraId="3E61AE5D">
      <w:pPr>
        <w:spacing w:line="300" w:lineRule="auto"/>
        <w:ind w:firstLine="480" w:firstLineChars="200"/>
        <w:rPr>
          <w:rFonts w:ascii="仿宋" w:hAnsi="仿宋" w:eastAsia="仿宋" w:cs="仿宋"/>
        </w:rPr>
      </w:pPr>
      <w:r>
        <w:rPr>
          <w:rFonts w:hint="eastAsia" w:ascii="仿宋" w:hAnsi="仿宋" w:eastAsia="仿宋" w:cs="仿宋"/>
        </w:rPr>
        <w:t>上图中左下角的彩图展现的是MOSA的立法时间线，来自于国防部2</w:t>
      </w:r>
      <w:r>
        <w:rPr>
          <w:rFonts w:ascii="仿宋" w:hAnsi="仿宋" w:eastAsia="仿宋" w:cs="仿宋"/>
        </w:rPr>
        <w:t>025</w:t>
      </w:r>
      <w:r>
        <w:rPr>
          <w:rFonts w:hint="eastAsia" w:ascii="仿宋" w:hAnsi="仿宋" w:eastAsia="仿宋" w:cs="仿宋"/>
        </w:rPr>
        <w:t>年发布的MOSA指南。其中较为重要的时间点MOSA的立法始于2</w:t>
      </w:r>
      <w:r>
        <w:rPr>
          <w:rFonts w:ascii="仿宋" w:hAnsi="仿宋" w:eastAsia="仿宋" w:cs="仿宋"/>
        </w:rPr>
        <w:t>015</w:t>
      </w:r>
      <w:r>
        <w:rPr>
          <w:rFonts w:hint="eastAsia" w:ascii="仿宋" w:hAnsi="仿宋" w:eastAsia="仿宋" w:cs="仿宋"/>
        </w:rPr>
        <w:t>年初，《2</w:t>
      </w:r>
      <w:r>
        <w:rPr>
          <w:rFonts w:ascii="仿宋" w:hAnsi="仿宋" w:eastAsia="仿宋" w:cs="仿宋"/>
        </w:rPr>
        <w:t>015</w:t>
      </w:r>
      <w:r>
        <w:rPr>
          <w:rFonts w:hint="eastAsia" w:ascii="仿宋" w:hAnsi="仿宋" w:eastAsia="仿宋" w:cs="仿宋"/>
        </w:rPr>
        <w:t>财年国防授权法案》简称</w:t>
      </w:r>
      <w:r>
        <w:rPr>
          <w:rFonts w:ascii="仿宋" w:hAnsi="仿宋" w:eastAsia="仿宋" w:cs="仿宋"/>
        </w:rPr>
        <w:t>NDAA 2015</w:t>
      </w:r>
      <w:r>
        <w:rPr>
          <w:rFonts w:hint="eastAsia" w:ascii="仿宋" w:hAnsi="仿宋" w:eastAsia="仿宋" w:cs="仿宋"/>
        </w:rPr>
        <w:t>，要求相关国防部副部长提交关于通过标准和架构规划模块化开放系统方法的报告。2</w:t>
      </w:r>
      <w:r>
        <w:rPr>
          <w:rFonts w:ascii="仿宋" w:hAnsi="仿宋" w:eastAsia="仿宋" w:cs="仿宋"/>
        </w:rPr>
        <w:t>016</w:t>
      </w:r>
      <w:r>
        <w:rPr>
          <w:rFonts w:hint="eastAsia" w:ascii="仿宋" w:hAnsi="仿宋" w:eastAsia="仿宋" w:cs="仿宋"/>
        </w:rPr>
        <w:t>年底</w:t>
      </w:r>
      <w:r>
        <w:rPr>
          <w:rFonts w:ascii="仿宋" w:hAnsi="仿宋" w:eastAsia="仿宋" w:cs="仿宋"/>
        </w:rPr>
        <w:t>NDAA 2017</w:t>
      </w:r>
      <w:r>
        <w:rPr>
          <w:rFonts w:hint="eastAsia" w:ascii="仿宋" w:hAnsi="仿宋" w:eastAsia="仿宋" w:cs="仿宋"/>
        </w:rPr>
        <w:t>是一个较为重要的节点，MOSA首次以要求被写入法律，要求国防重大采办项目（major</w:t>
      </w:r>
      <w:r>
        <w:rPr>
          <w:rFonts w:ascii="仿宋" w:hAnsi="仿宋" w:eastAsia="仿宋" w:cs="仿宋"/>
        </w:rPr>
        <w:t xml:space="preserve"> </w:t>
      </w:r>
      <w:r>
        <w:rPr>
          <w:rFonts w:hint="eastAsia" w:ascii="仿宋" w:hAnsi="仿宋" w:eastAsia="仿宋" w:cs="仿宋"/>
        </w:rPr>
        <w:t>defense</w:t>
      </w:r>
      <w:r>
        <w:rPr>
          <w:rFonts w:ascii="仿宋" w:hAnsi="仿宋" w:eastAsia="仿宋" w:cs="仿宋"/>
        </w:rPr>
        <w:t xml:space="preserve"> </w:t>
      </w:r>
      <w:r>
        <w:rPr>
          <w:rFonts w:hint="eastAsia" w:ascii="仿宋" w:hAnsi="仿宋" w:eastAsia="仿宋" w:cs="仿宋"/>
        </w:rPr>
        <w:t>acquisition</w:t>
      </w:r>
      <w:r>
        <w:rPr>
          <w:rFonts w:ascii="仿宋" w:hAnsi="仿宋" w:eastAsia="仿宋" w:cs="仿宋"/>
        </w:rPr>
        <w:t xml:space="preserve"> </w:t>
      </w:r>
      <w:r>
        <w:rPr>
          <w:rFonts w:hint="eastAsia" w:ascii="仿宋" w:hAnsi="仿宋" w:eastAsia="仿宋" w:cs="仿宋"/>
        </w:rPr>
        <w:t>program）应当（shall）最大限度采用MOSA。2</w:t>
      </w:r>
      <w:r>
        <w:rPr>
          <w:rFonts w:ascii="仿宋" w:hAnsi="仿宋" w:eastAsia="仿宋" w:cs="仿宋"/>
        </w:rPr>
        <w:t>021</w:t>
      </w:r>
      <w:r>
        <w:rPr>
          <w:rFonts w:hint="eastAsia" w:ascii="仿宋" w:hAnsi="仿宋" w:eastAsia="仿宋" w:cs="仿宋"/>
        </w:rPr>
        <w:t>年初，</w:t>
      </w:r>
      <w:r>
        <w:rPr>
          <w:rFonts w:ascii="仿宋" w:hAnsi="仿宋" w:eastAsia="仿宋" w:cs="仿宋"/>
        </w:rPr>
        <w:t>NDAA 2021</w:t>
      </w:r>
      <w:r>
        <w:rPr>
          <w:rFonts w:hint="eastAsia" w:ascii="仿宋" w:hAnsi="仿宋" w:eastAsia="仿宋" w:cs="仿宋"/>
        </w:rPr>
        <w:t>中将MOSA的使用范围从国防重大采办项目扩大到所有其他类型的国防采办项目,并更新了发条的编号。上图的时间线图中称NDAA</w:t>
      </w:r>
      <w:r>
        <w:rPr>
          <w:rFonts w:ascii="仿宋" w:hAnsi="仿宋" w:eastAsia="仿宋" w:cs="仿宋"/>
        </w:rPr>
        <w:t xml:space="preserve"> 2022</w:t>
      </w:r>
      <w:r>
        <w:rPr>
          <w:rFonts w:hint="eastAsia" w:ascii="仿宋" w:hAnsi="仿宋" w:eastAsia="仿宋" w:cs="仿宋"/>
        </w:rPr>
        <w:t>更新了法条编号，是错误表述，与美国法典不符。</w:t>
      </w:r>
    </w:p>
    <w:p w14:paraId="36120415">
      <w:pPr>
        <w:spacing w:line="300" w:lineRule="auto"/>
        <w:ind w:firstLine="480" w:firstLineChars="200"/>
        <w:rPr>
          <w:rFonts w:ascii="仿宋" w:hAnsi="仿宋" w:eastAsia="仿宋" w:cs="仿宋"/>
        </w:rPr>
      </w:pPr>
      <w:r>
        <w:rPr>
          <w:rFonts w:hint="eastAsia" w:ascii="仿宋" w:hAnsi="仿宋" w:eastAsia="仿宋" w:cs="仿宋"/>
        </w:rPr>
        <w:t>当前最新的MOSA相关法条收录于美国法典第4</w:t>
      </w:r>
      <w:r>
        <w:rPr>
          <w:rFonts w:ascii="仿宋" w:hAnsi="仿宋" w:eastAsia="仿宋" w:cs="仿宋"/>
        </w:rPr>
        <w:t>401</w:t>
      </w:r>
      <w:r>
        <w:rPr>
          <w:rFonts w:hint="eastAsia" w:ascii="仿宋" w:hAnsi="仿宋" w:eastAsia="仿宋" w:cs="仿宋"/>
        </w:rPr>
        <w:t>条至</w:t>
      </w:r>
      <w:r>
        <w:rPr>
          <w:rFonts w:ascii="仿宋" w:hAnsi="仿宋" w:eastAsia="仿宋" w:cs="仿宋"/>
        </w:rPr>
        <w:t>4403</w:t>
      </w:r>
      <w:r>
        <w:rPr>
          <w:rFonts w:hint="eastAsia" w:ascii="仿宋" w:hAnsi="仿宋" w:eastAsia="仿宋" w:cs="仿宋"/>
        </w:rPr>
        <w:t>条（1</w:t>
      </w:r>
      <w:r>
        <w:rPr>
          <w:rFonts w:ascii="仿宋" w:hAnsi="仿宋" w:eastAsia="仿宋" w:cs="仿宋"/>
        </w:rPr>
        <w:t xml:space="preserve">0 </w:t>
      </w:r>
      <w:r>
        <w:rPr>
          <w:rFonts w:hint="eastAsia" w:ascii="仿宋" w:hAnsi="仿宋" w:eastAsia="仿宋" w:cs="仿宋"/>
        </w:rPr>
        <w:t>U.</w:t>
      </w:r>
      <w:r>
        <w:rPr>
          <w:rFonts w:ascii="仿宋" w:hAnsi="仿宋" w:eastAsia="仿宋" w:cs="仿宋"/>
        </w:rPr>
        <w:t>S.C 4401-4403</w:t>
      </w:r>
      <w:r>
        <w:rPr>
          <w:rFonts w:hint="eastAsia" w:ascii="仿宋" w:hAnsi="仿宋" w:eastAsia="仿宋" w:cs="仿宋"/>
        </w:rPr>
        <w:t>）其中最重要的为4</w:t>
      </w:r>
      <w:r>
        <w:rPr>
          <w:rFonts w:ascii="仿宋" w:hAnsi="仿宋" w:eastAsia="仿宋" w:cs="仿宋"/>
        </w:rPr>
        <w:t>401</w:t>
      </w:r>
      <w:r>
        <w:rPr>
          <w:rFonts w:hint="eastAsia" w:ascii="仿宋" w:hAnsi="仿宋" w:eastAsia="仿宋" w:cs="仿宋"/>
        </w:rPr>
        <w:t>条是总的要求，名为“重大国防采办项目中模块化开放系统方法的要求、定义”，主要包含对国防采办项目中应当（shall）采用MOSA的要求，以及对MOSA和一些相关名词的定义。4</w:t>
      </w:r>
      <w:r>
        <w:rPr>
          <w:rFonts w:ascii="仿宋" w:hAnsi="仿宋" w:eastAsia="仿宋" w:cs="仿宋"/>
        </w:rPr>
        <w:t>402</w:t>
      </w:r>
      <w:r>
        <w:rPr>
          <w:rFonts w:hint="eastAsia" w:ascii="仿宋" w:hAnsi="仿宋" w:eastAsia="仿宋" w:cs="仿宋"/>
        </w:rPr>
        <w:t>条为“采办项目能力开发与武器系统中需体现模块化系统方法的要求”，主要是对采办过程和武器系统设计过程中的要求相比4</w:t>
      </w:r>
      <w:r>
        <w:rPr>
          <w:rFonts w:ascii="仿宋" w:hAnsi="仿宋" w:eastAsia="仿宋" w:cs="仿宋"/>
        </w:rPr>
        <w:t>401</w:t>
      </w:r>
      <w:r>
        <w:rPr>
          <w:rFonts w:hint="eastAsia" w:ascii="仿宋" w:hAnsi="仿宋" w:eastAsia="仿宋" w:cs="仿宋"/>
        </w:rPr>
        <w:t>具体些，例如招标书中应包含对MOSA的说明，里程碑B（Milestone</w:t>
      </w:r>
      <w:r>
        <w:rPr>
          <w:rFonts w:ascii="仿宋" w:hAnsi="仿宋" w:eastAsia="仿宋" w:cs="仿宋"/>
        </w:rPr>
        <w:t xml:space="preserve"> </w:t>
      </w:r>
      <w:r>
        <w:rPr>
          <w:rFonts w:hint="eastAsia" w:ascii="仿宋" w:hAnsi="仿宋" w:eastAsia="仿宋" w:cs="仿宋"/>
        </w:rPr>
        <w:t>B）批准前需对MOSA进行确认等。</w:t>
      </w:r>
      <w:r>
        <w:rPr>
          <w:rFonts w:ascii="仿宋" w:hAnsi="仿宋" w:eastAsia="仿宋" w:cs="仿宋"/>
        </w:rPr>
        <w:t>4403</w:t>
      </w:r>
      <w:r>
        <w:rPr>
          <w:rFonts w:hint="eastAsia" w:ascii="仿宋" w:hAnsi="仿宋" w:eastAsia="仿宋" w:cs="仿宋"/>
        </w:rPr>
        <w:t>条则主要提出“关于主要系统接口可用性及支持模块化系统方法的要求”。</w:t>
      </w:r>
    </w:p>
    <w:p w14:paraId="4A83C521">
      <w:pPr>
        <w:spacing w:line="300" w:lineRule="auto"/>
        <w:ind w:firstLine="480" w:firstLineChars="200"/>
        <w:rPr>
          <w:rFonts w:ascii="仿宋" w:hAnsi="仿宋" w:eastAsia="仿宋" w:cs="仿宋"/>
        </w:rPr>
      </w:pPr>
      <w:r>
        <w:rPr>
          <w:rFonts w:hint="eastAsia" w:ascii="仿宋" w:hAnsi="仿宋" w:eastAsia="仿宋" w:cs="仿宋"/>
        </w:rPr>
        <w:t>针对MOSA的立法有一个显著的特点是其适用范围的扩大，可以体现MOSA向上的发展趋势。立法中对实施MOSA的基本要求，也可总结出部分发展开放式架构的启示：</w:t>
      </w:r>
    </w:p>
    <w:p w14:paraId="4214266D">
      <w:pPr>
        <w:spacing w:line="300" w:lineRule="auto"/>
        <w:ind w:firstLine="480" w:firstLineChars="200"/>
        <w:rPr>
          <w:rFonts w:hint="eastAsia" w:ascii="仿宋" w:hAnsi="仿宋" w:eastAsia="仿宋" w:cs="仿宋"/>
        </w:rPr>
      </w:pPr>
      <w:r>
        <w:rPr>
          <w:rFonts w:hint="eastAsia" w:ascii="仿宋" w:hAnsi="仿宋" w:eastAsia="仿宋" w:cs="仿宋"/>
        </w:rPr>
        <w:t>1</w:t>
      </w:r>
      <w:r>
        <w:rPr>
          <w:rFonts w:ascii="仿宋" w:hAnsi="仿宋" w:eastAsia="仿宋" w:cs="仿宋"/>
        </w:rPr>
        <w:t>.</w:t>
      </w:r>
      <w:r>
        <w:rPr>
          <w:rFonts w:hint="eastAsia" w:ascii="仿宋" w:hAnsi="仿宋" w:eastAsia="仿宋" w:cs="仿宋"/>
        </w:rPr>
        <w:t>将开放式架构作为一种强制要求推行（4</w:t>
      </w:r>
      <w:r>
        <w:rPr>
          <w:rFonts w:ascii="仿宋" w:hAnsi="仿宋" w:eastAsia="仿宋" w:cs="仿宋"/>
        </w:rPr>
        <w:t>401</w:t>
      </w:r>
      <w:r>
        <w:rPr>
          <w:rFonts w:hint="eastAsia" w:ascii="仿宋" w:hAnsi="仿宋" w:eastAsia="仿宋" w:cs="仿宋"/>
        </w:rPr>
        <w:t>）</w:t>
      </w:r>
    </w:p>
    <w:p w14:paraId="4C562AF9">
      <w:pPr>
        <w:spacing w:line="300" w:lineRule="auto"/>
        <w:ind w:firstLine="480" w:firstLineChars="200"/>
        <w:rPr>
          <w:rFonts w:ascii="仿宋" w:hAnsi="仿宋" w:eastAsia="仿宋" w:cs="仿宋"/>
        </w:rPr>
      </w:pPr>
      <w:r>
        <w:rPr>
          <w:rFonts w:ascii="仿宋" w:hAnsi="仿宋" w:eastAsia="仿宋" w:cs="仿宋"/>
        </w:rPr>
        <w:t>2.</w:t>
      </w:r>
      <w:r>
        <w:rPr>
          <w:rFonts w:hint="eastAsia" w:ascii="仿宋" w:hAnsi="仿宋" w:eastAsia="仿宋" w:cs="仿宋"/>
        </w:rPr>
        <w:t>将开放式架构融入设计、研发、验证等装备生命周期全流程；（4</w:t>
      </w:r>
      <w:r>
        <w:rPr>
          <w:rFonts w:ascii="仿宋" w:hAnsi="仿宋" w:eastAsia="仿宋" w:cs="仿宋"/>
        </w:rPr>
        <w:t>402</w:t>
      </w:r>
      <w:r>
        <w:rPr>
          <w:rFonts w:hint="eastAsia" w:ascii="仿宋" w:hAnsi="仿宋" w:eastAsia="仿宋" w:cs="仿宋"/>
        </w:rPr>
        <w:t>）</w:t>
      </w:r>
    </w:p>
    <w:p w14:paraId="68266E41">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装备能力定义时和设计流程中更加考虑技术演进和装备升级。</w:t>
      </w:r>
    </w:p>
    <w:p w14:paraId="63855566">
      <w:pPr>
        <w:spacing w:line="300" w:lineRule="auto"/>
        <w:ind w:firstLine="480" w:firstLineChars="200"/>
        <w:rPr>
          <w:rFonts w:hint="eastAsia" w:ascii="仿宋" w:hAnsi="仿宋" w:eastAsia="仿宋" w:cs="仿宋"/>
        </w:rPr>
      </w:pPr>
      <w:r>
        <w:rPr>
          <w:rFonts w:ascii="仿宋" w:hAnsi="仿宋" w:eastAsia="仿宋" w:cs="仿宋"/>
        </w:rPr>
        <w:tab/>
      </w:r>
      <w:r>
        <w:rPr>
          <w:rFonts w:hint="eastAsia" w:ascii="仿宋" w:hAnsi="仿宋" w:eastAsia="仿宋" w:cs="仿宋"/>
        </w:rPr>
        <w:t>装备研发过程中的流程标准增加对采用开放架构的相关要求，例如立项、合同、评审、验收等。</w:t>
      </w:r>
    </w:p>
    <w:p w14:paraId="5E0B37F8">
      <w:pPr>
        <w:spacing w:line="300" w:lineRule="auto"/>
        <w:ind w:firstLine="480" w:firstLineChars="200"/>
        <w:rPr>
          <w:rFonts w:hint="eastAsia" w:ascii="仿宋" w:hAnsi="仿宋" w:eastAsia="仿宋" w:cs="仿宋"/>
        </w:rPr>
      </w:pPr>
      <w:r>
        <w:rPr>
          <w:rFonts w:ascii="仿宋" w:hAnsi="仿宋" w:eastAsia="仿宋" w:cs="仿宋"/>
        </w:rPr>
        <w:t>3.</w:t>
      </w:r>
      <w:r>
        <w:rPr>
          <w:rFonts w:hint="eastAsia" w:ascii="仿宋" w:hAnsi="仿宋" w:eastAsia="仿宋" w:cs="仿宋"/>
        </w:rPr>
        <w:t>特别注重系统接口（系统与体系、系统内组件间等）相关工作，例如标准化、开放性；（4</w:t>
      </w:r>
      <w:r>
        <w:rPr>
          <w:rFonts w:ascii="仿宋" w:hAnsi="仿宋" w:eastAsia="仿宋" w:cs="仿宋"/>
        </w:rPr>
        <w:t>403</w:t>
      </w:r>
      <w:r>
        <w:rPr>
          <w:rFonts w:hint="eastAsia" w:ascii="仿宋" w:hAnsi="仿宋" w:eastAsia="仿宋" w:cs="仿宋"/>
        </w:rPr>
        <w:t>）</w:t>
      </w:r>
    </w:p>
    <w:p w14:paraId="67D350EB">
      <w:pPr>
        <w:pStyle w:val="4"/>
      </w:pPr>
      <w:r>
        <w:rPr>
          <w:rFonts w:hint="eastAsia"/>
          <w:lang w:val="en-US" w:eastAsia="zh-CN"/>
        </w:rPr>
        <w:t>4</w:t>
      </w:r>
      <w:r>
        <w:rPr>
          <w:rFonts w:hint="eastAsia"/>
        </w:rPr>
        <w:t>.</w:t>
      </w:r>
      <w:r>
        <w:t>2</w:t>
      </w:r>
      <w:r>
        <w:rPr>
          <w:rFonts w:hint="eastAsia"/>
        </w:rPr>
        <w:t>政府：</w:t>
      </w:r>
    </w:p>
    <w:p w14:paraId="534DFC4A">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开放式架构是</w:t>
      </w:r>
      <w:r>
        <w:rPr>
          <w:rFonts w:hint="eastAsia" w:ascii="仿宋" w:hAnsi="仿宋" w:eastAsia="仿宋" w:cs="仿宋"/>
        </w:rPr>
        <w:t>美国政府（国防部）</w:t>
      </w:r>
      <w:r>
        <w:rPr>
          <w:rFonts w:hint="eastAsia" w:ascii="仿宋" w:hAnsi="仿宋" w:eastAsia="仿宋" w:cs="仿宋"/>
          <w:lang w:val="en-US" w:eastAsia="zh-CN"/>
        </w:rPr>
        <w:t>的一个重点关注领域，根据调研结果总结了美国防部机构与MOSA的关系如下图所示。</w:t>
      </w:r>
    </w:p>
    <w:p w14:paraId="78BE4002">
      <w:pPr>
        <w:spacing w:line="300" w:lineRule="auto"/>
        <w:jc w:val="center"/>
        <w:rPr>
          <w:rFonts w:hint="eastAsia" w:ascii="仿宋" w:hAnsi="仿宋" w:eastAsia="仿宋" w:cs="仿宋"/>
          <w:lang w:val="en-US" w:eastAsia="zh-CN"/>
        </w:rPr>
      </w:pPr>
      <w:r>
        <w:drawing>
          <wp:inline distT="0" distB="0" distL="0" distR="0">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74310" cy="1367790"/>
                    </a:xfrm>
                    <a:prstGeom prst="rect">
                      <a:avLst/>
                    </a:prstGeom>
                  </pic:spPr>
                </pic:pic>
              </a:graphicData>
            </a:graphic>
          </wp:inline>
        </w:drawing>
      </w:r>
    </w:p>
    <w:p w14:paraId="65028779">
      <w:pPr>
        <w:spacing w:line="300" w:lineRule="auto"/>
        <w:ind w:firstLine="480" w:firstLineChars="200"/>
      </w:pPr>
      <w:r>
        <w:rPr>
          <w:rFonts w:hint="eastAsia" w:ascii="仿宋" w:hAnsi="仿宋" w:eastAsia="仿宋" w:cs="仿宋"/>
          <w:lang w:val="en-US" w:eastAsia="zh-CN"/>
        </w:rPr>
        <w:t>国防部对开放系统架构的领导力度有加强的趋势。</w:t>
      </w:r>
      <w:r>
        <w:rPr>
          <w:rFonts w:hint="eastAsia" w:ascii="仿宋" w:hAnsi="仿宋" w:eastAsia="仿宋" w:cs="仿宋"/>
        </w:rPr>
        <w:t>调研资料显示1</w:t>
      </w:r>
      <w:r>
        <w:rPr>
          <w:rFonts w:ascii="仿宋" w:hAnsi="仿宋" w:eastAsia="仿宋" w:cs="仿宋"/>
        </w:rPr>
        <w:t>994</w:t>
      </w:r>
      <w:r>
        <w:rPr>
          <w:rFonts w:hint="eastAsia" w:ascii="仿宋" w:hAnsi="仿宋" w:eastAsia="仿宋" w:cs="仿宋"/>
        </w:rPr>
        <w:t>年，国防部成立了开放系统联合任务组（Open</w:t>
      </w:r>
      <w:r>
        <w:rPr>
          <w:rFonts w:ascii="仿宋" w:hAnsi="仿宋" w:eastAsia="仿宋" w:cs="仿宋"/>
        </w:rPr>
        <w:t xml:space="preserve"> </w:t>
      </w:r>
      <w:r>
        <w:rPr>
          <w:rFonts w:hint="eastAsia" w:ascii="仿宋" w:hAnsi="仿宋" w:eastAsia="仿宋" w:cs="仿宋"/>
        </w:rPr>
        <w:t>System</w:t>
      </w:r>
      <w:r>
        <w:rPr>
          <w:rFonts w:ascii="仿宋" w:hAnsi="仿宋" w:eastAsia="仿宋" w:cs="仿宋"/>
        </w:rPr>
        <w:t xml:space="preserve"> </w:t>
      </w:r>
      <w:r>
        <w:rPr>
          <w:rFonts w:hint="eastAsia" w:ascii="仿宋" w:hAnsi="仿宋" w:eastAsia="仿宋" w:cs="仿宋"/>
        </w:rPr>
        <w:t>Joint</w:t>
      </w:r>
      <w:r>
        <w:rPr>
          <w:rFonts w:ascii="仿宋" w:hAnsi="仿宋" w:eastAsia="仿宋" w:cs="仿宋"/>
        </w:rPr>
        <w:t xml:space="preserve"> </w:t>
      </w:r>
      <w:r>
        <w:rPr>
          <w:rFonts w:hint="eastAsia" w:ascii="仿宋" w:hAnsi="仿宋" w:eastAsia="仿宋" w:cs="仿宋"/>
        </w:rPr>
        <w:t>Task</w:t>
      </w:r>
      <w:r>
        <w:rPr>
          <w:rFonts w:ascii="仿宋" w:hAnsi="仿宋" w:eastAsia="仿宋" w:cs="仿宋"/>
        </w:rPr>
        <w:t xml:space="preserve"> </w:t>
      </w:r>
      <w:r>
        <w:rPr>
          <w:rFonts w:hint="eastAsia" w:ascii="仿宋" w:hAnsi="仿宋" w:eastAsia="仿宋" w:cs="仿宋"/>
        </w:rPr>
        <w:t>Force，OSJTF）来进行开放系统架构的工作，尝试通过开放系统架构降低装备的成本和提高互操作性。2</w:t>
      </w:r>
      <w:r>
        <w:rPr>
          <w:rFonts w:ascii="仿宋" w:hAnsi="仿宋" w:eastAsia="仿宋" w:cs="仿宋"/>
        </w:rPr>
        <w:t>1</w:t>
      </w:r>
      <w:r>
        <w:rPr>
          <w:rFonts w:hint="eastAsia" w:ascii="仿宋" w:hAnsi="仿宋" w:eastAsia="仿宋" w:cs="仿宋"/>
        </w:rPr>
        <w:t>世纪初MOSA的概念被提出，</w:t>
      </w:r>
      <w:r>
        <w:rPr>
          <w:rFonts w:hint="eastAsia" w:ascii="仿宋" w:hAnsi="仿宋" w:eastAsia="仿宋" w:cs="仿宋"/>
          <w:lang w:val="en-US" w:eastAsia="zh-CN"/>
        </w:rPr>
        <w:t>并</w:t>
      </w:r>
      <w:r>
        <w:rPr>
          <w:rFonts w:hint="eastAsia" w:ascii="仿宋" w:hAnsi="仿宋" w:eastAsia="仿宋" w:cs="仿宋"/>
        </w:rPr>
        <w:t>被整合到了国防部系统工程指导方针中，2</w:t>
      </w:r>
      <w:r>
        <w:rPr>
          <w:rFonts w:ascii="仿宋" w:hAnsi="仿宋" w:eastAsia="仿宋" w:cs="仿宋"/>
        </w:rPr>
        <w:t>004</w:t>
      </w:r>
      <w:r>
        <w:rPr>
          <w:rFonts w:hint="eastAsia" w:ascii="仿宋" w:hAnsi="仿宋" w:eastAsia="仿宋" w:cs="仿宋"/>
        </w:rPr>
        <w:t>年OSJTF工作组解散，之后MOSA在国防部采购程序中的应用不一。随着MOSA</w:t>
      </w:r>
      <w:r>
        <w:rPr>
          <w:rFonts w:hint="eastAsia" w:ascii="仿宋" w:hAnsi="仿宋" w:eastAsia="仿宋" w:cs="仿宋"/>
          <w:lang w:val="en-US" w:eastAsia="zh-CN"/>
        </w:rPr>
        <w:t>的立法推进</w:t>
      </w:r>
      <w:r>
        <w:rPr>
          <w:rFonts w:hint="eastAsia" w:ascii="仿宋" w:hAnsi="仿宋" w:eastAsia="仿宋" w:cs="仿宋"/>
        </w:rPr>
        <w:t>，国防部又开展了相应的工作，2</w:t>
      </w:r>
      <w:r>
        <w:rPr>
          <w:rFonts w:ascii="仿宋" w:hAnsi="仿宋" w:eastAsia="仿宋" w:cs="仿宋"/>
        </w:rPr>
        <w:t>016</w:t>
      </w:r>
      <w:r>
        <w:rPr>
          <w:rFonts w:hint="eastAsia" w:ascii="仿宋" w:hAnsi="仿宋" w:eastAsia="仿宋" w:cs="仿宋"/>
        </w:rPr>
        <w:t>年负责研究和工程的副部长办公室成立了模块化开放系统工作组（Modular</w:t>
      </w:r>
      <w:r>
        <w:rPr>
          <w:rFonts w:ascii="仿宋" w:hAnsi="仿宋" w:eastAsia="仿宋" w:cs="仿宋"/>
        </w:rPr>
        <w:t xml:space="preserve"> </w:t>
      </w:r>
      <w:r>
        <w:rPr>
          <w:rFonts w:hint="eastAsia" w:ascii="仿宋" w:hAnsi="仿宋" w:eastAsia="仿宋" w:cs="仿宋"/>
        </w:rPr>
        <w:t>Open</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Group，MOSWG），同样2</w:t>
      </w:r>
      <w:r>
        <w:rPr>
          <w:rFonts w:ascii="仿宋" w:hAnsi="仿宋" w:eastAsia="仿宋" w:cs="仿宋"/>
        </w:rPr>
        <w:t>016</w:t>
      </w:r>
      <w:r>
        <w:rPr>
          <w:rFonts w:hint="eastAsia" w:ascii="仿宋" w:hAnsi="仿宋" w:eastAsia="仿宋" w:cs="仿宋"/>
        </w:rPr>
        <w:t>年在国防标准化委员会（Defense</w:t>
      </w:r>
      <w:r>
        <w:rPr>
          <w:rFonts w:ascii="仿宋" w:hAnsi="仿宋" w:eastAsia="仿宋" w:cs="仿宋"/>
        </w:rPr>
        <w:t xml:space="preserve"> Standardization Council,DSC</w:t>
      </w:r>
      <w:r>
        <w:rPr>
          <w:rFonts w:hint="eastAsia" w:ascii="仿宋" w:hAnsi="仿宋" w:eastAsia="仿宋" w:cs="仿宋"/>
        </w:rPr>
        <w:t>）的要求下，负责研究和工程的副部长办公室牵头成立了国防部MOSA技术标准工作组（DoD</w:t>
      </w:r>
      <w:r>
        <w:rPr>
          <w:rFonts w:ascii="仿宋" w:hAnsi="仿宋" w:eastAsia="仿宋" w:cs="仿宋"/>
        </w:rPr>
        <w:t xml:space="preserve"> </w:t>
      </w:r>
      <w:r>
        <w:rPr>
          <w:rFonts w:hint="eastAsia" w:ascii="仿宋" w:hAnsi="仿宋" w:eastAsia="仿宋" w:cs="仿宋"/>
        </w:rPr>
        <w:t>MOSA</w:t>
      </w:r>
      <w:r>
        <w:rPr>
          <w:rFonts w:ascii="仿宋" w:hAnsi="仿宋" w:eastAsia="仿宋" w:cs="仿宋"/>
        </w:rPr>
        <w:t xml:space="preserve"> </w:t>
      </w:r>
      <w:r>
        <w:rPr>
          <w:rFonts w:hint="eastAsia" w:ascii="仿宋" w:hAnsi="仿宋" w:eastAsia="仿宋" w:cs="仿宋"/>
        </w:rPr>
        <w:t>Technical</w:t>
      </w:r>
      <w:r>
        <w:rPr>
          <w:rFonts w:ascii="仿宋" w:hAnsi="仿宋" w:eastAsia="仿宋" w:cs="仿宋"/>
        </w:rPr>
        <w:t xml:space="preserve"> </w:t>
      </w:r>
      <w:r>
        <w:rPr>
          <w:rFonts w:hint="eastAsia" w:ascii="仿宋" w:hAnsi="仿宋" w:eastAsia="仿宋" w:cs="仿宋"/>
        </w:rPr>
        <w:t>Standards</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Group）两个工作组合作来开展MOSA的指导文件制定等相关工作</w:t>
      </w:r>
      <w:r>
        <w:rPr>
          <w:rFonts w:hint="eastAsia" w:ascii="仿宋" w:hAnsi="仿宋" w:eastAsia="仿宋" w:cs="仿宋"/>
          <w:lang w:eastAsia="zh-CN"/>
        </w:rPr>
        <w:t>，</w:t>
      </w:r>
      <w:r>
        <w:rPr>
          <w:rFonts w:hint="eastAsia" w:ascii="仿宋" w:hAnsi="仿宋" w:eastAsia="仿宋" w:cs="仿宋"/>
          <w:lang w:val="en-US" w:eastAsia="zh-CN"/>
        </w:rPr>
        <w:t>已推出了MOSA参考框架和实施指南等指导文件。</w:t>
      </w:r>
    </w:p>
    <w:p w14:paraId="41E5EDC7">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385D5458">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美国国防部对开放架构相关工作的重视程度不断提升，领导力度不断加大，也体现开放式架构向上发展的趋势，此外开放式架构工作与标准化工作紧密结合也可作为发展开放式架构的启示。</w:t>
      </w:r>
    </w:p>
    <w:p w14:paraId="56AF63A9">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待办：</w:t>
      </w:r>
    </w:p>
    <w:p w14:paraId="5A0C011D">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1.2004年到2016年间的开放式架构发展情况，为什么04年OSJTF解散，为什么2016年前后又重新重视；</w:t>
      </w:r>
    </w:p>
    <w:p w14:paraId="353FB631">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2.MOSA标准化相关工作（MOSA TSWG的相关工作）；</w:t>
      </w:r>
    </w:p>
    <w:p w14:paraId="0BCDD839">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3.有一些组织关系还没有梳理完成，例如：成立MOSSWG的明确机构，成立MOSA TSWG的明确机构，DSC在国防标准化中的角色等。</w:t>
      </w:r>
    </w:p>
    <w:p w14:paraId="5C3528A4">
      <w:pPr>
        <w:pStyle w:val="4"/>
        <w:rPr>
          <w:rFonts w:hint="eastAsia"/>
        </w:rPr>
      </w:pPr>
      <w:r>
        <w:rPr>
          <w:rFonts w:hint="eastAsia"/>
          <w:lang w:val="en-US" w:eastAsia="zh-CN"/>
        </w:rPr>
        <w:t>4</w:t>
      </w:r>
      <w:r>
        <w:rPr>
          <w:rFonts w:hint="eastAsia"/>
        </w:rPr>
        <w:t>.</w:t>
      </w:r>
      <w:r>
        <w:t>3</w:t>
      </w:r>
      <w:r>
        <w:rPr>
          <w:rFonts w:hint="eastAsia"/>
        </w:rPr>
        <w:t>实践：</w:t>
      </w:r>
    </w:p>
    <w:p w14:paraId="4C80E4CF">
      <w:pPr>
        <w:pStyle w:val="4"/>
        <w:rPr>
          <w:rFonts w:hint="eastAsia"/>
        </w:rPr>
      </w:pPr>
      <w:r>
        <w:rPr>
          <w:rFonts w:hint="eastAsia"/>
          <w:lang w:val="en-US" w:eastAsia="zh-CN"/>
        </w:rPr>
        <w:t>4</w:t>
      </w:r>
      <w:r>
        <w:rPr>
          <w:rFonts w:hint="eastAsia"/>
        </w:rPr>
        <w:t>.</w:t>
      </w:r>
      <w:r>
        <w:t>4</w:t>
      </w:r>
      <w:r>
        <w:rPr>
          <w:rFonts w:hint="eastAsia"/>
        </w:rPr>
        <w:t>总结：</w:t>
      </w:r>
    </w:p>
    <w:p w14:paraId="2B2449FD">
      <w:pPr>
        <w:pStyle w:val="4"/>
        <w:rPr>
          <w:rFonts w:hint="eastAsia"/>
        </w:rPr>
      </w:pPr>
      <w:r>
        <w:rPr>
          <w:rFonts w:hint="eastAsia"/>
          <w:lang w:val="en-US" w:eastAsia="zh-CN"/>
        </w:rPr>
        <w:t>4</w:t>
      </w:r>
      <w:r>
        <w:rPr>
          <w:rFonts w:hint="eastAsia"/>
        </w:rPr>
        <w:t>.</w:t>
      </w:r>
      <w:r>
        <w:t>5</w:t>
      </w:r>
      <w:r>
        <w:rPr>
          <w:rFonts w:hint="eastAsia"/>
        </w:rPr>
        <w:t>待办：</w:t>
      </w:r>
      <w:bookmarkStart w:id="0" w:name="_GoBack"/>
      <w:bookmarkEnd w:id="0"/>
    </w:p>
    <w:p w14:paraId="326B7550">
      <w:pPr>
        <w:spacing w:line="300" w:lineRule="auto"/>
        <w:ind w:firstLine="480" w:firstLineChars="200"/>
        <w:rPr>
          <w:rFonts w:ascii="仿宋" w:hAnsi="仿宋" w:eastAsia="仿宋" w:cs="仿宋"/>
        </w:rPr>
      </w:pPr>
      <w:r>
        <w:rPr>
          <w:rFonts w:hint="eastAsia" w:ascii="仿宋" w:hAnsi="仿宋" w:eastAsia="仿宋" w:cs="仿宋"/>
        </w:rPr>
        <w:t>美国的</w:t>
      </w:r>
    </w:p>
    <w:p w14:paraId="1E41D98F">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6078C968">
      <w:r>
        <w:fldChar w:fldCharType="begin"/>
      </w:r>
      <w:r>
        <w:instrText xml:space="preserve"> HYPERLINK "https://www.aviationtoday.com/2004/02/01/perspective-the-mosa-approach-in-defense-acquisition/" </w:instrText>
      </w:r>
      <w:r>
        <w:fldChar w:fldCharType="separate"/>
      </w:r>
      <w:r>
        <w:rPr>
          <w:rStyle w:val="7"/>
        </w:rPr>
        <w:t>Perspective: The MOSA Approach in Defense Acquisition - Avionics International</w:t>
      </w:r>
      <w:r>
        <w:rPr>
          <w:rStyle w:val="7"/>
        </w:rPr>
        <w:fldChar w:fldCharType="end"/>
      </w:r>
    </w:p>
    <w:p w14:paraId="65B36674">
      <w:r>
        <w:rPr>
          <w:rFonts w:hint="eastAsia"/>
        </w:rPr>
        <w:t>1994 年 11 月，美国国防部负责采购和技术的副部长制定了开放系统联合工作组 （OSJTF），以加速对武器系统电子采购开放系统的接受和理解。国防部 （DoD） 开放系统计划的总体目标是降低生命周期成本、更快地提供作战能力并增强互作性。</w:t>
      </w:r>
    </w:p>
    <w:p w14:paraId="2E6E6CE6"/>
    <w:p w14:paraId="5D547797">
      <w:r>
        <w:rPr>
          <w:rFonts w:hint="eastAsia"/>
        </w:rPr>
        <w:t>在这九年里，国防部对这些目标的相对重视发生了一些变化，非常关注解决已部署和新兴系统中的互作性问题。然而，随着国防部中以网络为中心的作战和战争 （NCOW） 概念的出现，开放系统计划在系统架构中发挥着更大的作用。设计和建造以网络为中心的武器系统的业务和技术要求迅速出现，将要求大幅度降低开发成本和进度。模块化开放系统方法 （MOSA） 是实现这一目标的基础。</w:t>
      </w:r>
    </w:p>
    <w:p w14:paraId="0C7CB300"/>
    <w:p w14:paraId="26EBC3FE">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3DCABB91"/>
    <w:p w14:paraId="258A90C7">
      <w:r>
        <w:rPr>
          <w:rFonts w:hint="eastAsia"/>
        </w:rPr>
        <w:t>为了规避这个问题，OSJTF 选择定义一种模块化的开放系统方法，而不是关注系统本身。根据 OSJTF 的 MOSA 项目经理指南，MOSA 是一种集成的业务和技术战略，它采用模块化设计，并在适当的情况下使用由公认的行业标准组织发布和维护的广泛支持的、基于共识的标准来定义关键接口。</w:t>
      </w:r>
    </w:p>
    <w:p w14:paraId="4FE0F9BC"/>
    <w:p w14:paraId="04D97A2A">
      <w:r>
        <w:rPr>
          <w:rFonts w:hint="eastAsia"/>
        </w:rPr>
        <w:t>模块化设计具有以下特点：</w:t>
      </w:r>
    </w:p>
    <w:p w14:paraId="26306112"/>
    <w:p w14:paraId="2908B1C7">
      <w:r>
        <w:rPr>
          <w:rFonts w:hint="eastAsia"/>
        </w:rPr>
        <w:t>划分为离散的、可扩展的、可重用的模块，由“隔离的、独立的功能元素”组成，</w:t>
      </w:r>
    </w:p>
    <w:p w14:paraId="4D98E8A6"/>
    <w:p w14:paraId="7E21FB79">
      <w:r>
        <w:rPr>
          <w:rFonts w:hint="eastAsia"/>
        </w:rPr>
        <w:t>严格使用严格的模块化接口定义，包括模块功能的面向对象描述，以及</w:t>
      </w:r>
    </w:p>
    <w:p w14:paraId="78B9429F"/>
    <w:p w14:paraId="763DBCBA">
      <w:r>
        <w:rPr>
          <w:rFonts w:hint="eastAsia"/>
        </w:rPr>
        <w:t>易于更换模块，并尽可能使用关键接口的通用行业标准。</w:t>
      </w:r>
    </w:p>
    <w:p w14:paraId="397E2C39"/>
    <w:p w14:paraId="38735BE7">
      <w:r>
        <w:rPr>
          <w:rFonts w:hint="eastAsia"/>
        </w:rPr>
        <w:t>MOSA 接口标准规定了各种元素（硬件和软件）之间的物理、功能和作关系，以允许互换性、互连性、兼容性和/或通信，并改善后勤支持。选择适当的标准应基于合理的市场研究和严格的系统工程流程的应用。</w:t>
      </w:r>
    </w:p>
    <w:p w14:paraId="3C99748D"/>
    <w:p w14:paraId="66191193">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6AC411C3"/>
    <w:p w14:paraId="7EEA4C1D">
      <w:r>
        <w:rPr>
          <w:rFonts w:hint="eastAsia"/>
        </w:rPr>
        <w:t>最新的国防部指令 5000.1 于 2003 年 5 月 12 日要求在可行的情况下采用模块化、开放系统方法。MOSA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7D76F269"/>
    <w:p w14:paraId="573EAC57">
      <w:r>
        <w:rPr>
          <w:rFonts w:hint="eastAsia"/>
        </w:rPr>
        <w:t>OSJTF 还在开发其他工具：</w:t>
      </w:r>
    </w:p>
    <w:p w14:paraId="1A666BBC"/>
    <w:p w14:paraId="663FD4E0">
      <w:r>
        <w:rPr>
          <w:rFonts w:hint="eastAsia"/>
        </w:rPr>
        <w:t>MOSA 技术和业务指标——一组指标或属性，指示系统设计中存在必要的模块化开放系统特征;</w:t>
      </w:r>
    </w:p>
    <w:p w14:paraId="39D67D73"/>
    <w:p w14:paraId="74978A14">
      <w:r>
        <w:rPr>
          <w:rFonts w:hint="eastAsia"/>
        </w:rPr>
        <w:t>MOSA 计划评估和评级工具改编自管理和预算办公室，用于进行计划评估，以说明在里程碑审查中对开放系统政策的遵守情况;和</w:t>
      </w:r>
    </w:p>
    <w:p w14:paraId="74991148"/>
    <w:p w14:paraId="2F38E647">
      <w:r>
        <w:rPr>
          <w:rFonts w:hint="eastAsia"/>
        </w:rPr>
        <w:t>MOSA 流程模型 – 一种基于 Web 的工具，适用于政府政策制定者、项目经理、行业业务规划者、开放系统架构师和军事系统组件供应商。</w:t>
      </w:r>
    </w:p>
    <w:p w14:paraId="34E6F3A8"/>
    <w:p w14:paraId="24F3AA34">
      <w:r>
        <w:rPr>
          <w:rFonts w:hint="eastAsia"/>
        </w:rPr>
        <w:t>将开放系统应用于武器系统采购是一项重大的文化变革。有许多成功要报告，但仍有许多工作要做。</w:t>
      </w:r>
    </w:p>
    <w:p w14:paraId="1C81856E">
      <w:pPr>
        <w:pStyle w:val="4"/>
      </w:pPr>
      <w:r>
        <w:rPr>
          <w:rFonts w:hint="eastAsia"/>
        </w:rPr>
        <w:t>3.1主导机构：</w:t>
      </w:r>
    </w:p>
    <w:p w14:paraId="2FE89C76"/>
    <w:p w14:paraId="09C729FF">
      <w:pPr>
        <w:pStyle w:val="4"/>
      </w:pPr>
      <w:r>
        <w:rPr>
          <w:rFonts w:hint="eastAsia"/>
        </w:rPr>
        <w:t>资料汇总</w:t>
      </w:r>
    </w:p>
    <w:p w14:paraId="38A2C7EC">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57DC699F">
      <w:pPr>
        <w:adjustRightInd w:val="0"/>
        <w:snapToGrid w:val="0"/>
        <w:spacing w:line="560" w:lineRule="exact"/>
        <w:rPr>
          <w:b/>
          <w:bCs/>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645"/>
        <w:gridCol w:w="425"/>
      </w:tblGrid>
      <w:tr w14:paraId="588BE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DCCDE24">
            <w:r>
              <w:rPr>
                <w:rFonts w:hint="eastAsia"/>
              </w:rPr>
              <w:t>资料主题</w:t>
            </w:r>
          </w:p>
        </w:tc>
        <w:tc>
          <w:tcPr>
            <w:tcW w:w="6266" w:type="dxa"/>
          </w:tcPr>
          <w:p w14:paraId="7772DBB3">
            <w:r>
              <w:rPr>
                <w:rFonts w:hint="eastAsia"/>
              </w:rPr>
              <w:t>资料地址</w:t>
            </w:r>
          </w:p>
        </w:tc>
        <w:tc>
          <w:tcPr>
            <w:tcW w:w="617" w:type="dxa"/>
          </w:tcPr>
          <w:p w14:paraId="0C634CF4">
            <w:r>
              <w:rPr>
                <w:rFonts w:hint="eastAsia"/>
              </w:rPr>
              <w:t>来源</w:t>
            </w:r>
          </w:p>
        </w:tc>
      </w:tr>
      <w:tr w14:paraId="6B5FA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A4CA320">
            <w:r>
              <w:rPr>
                <w:rFonts w:hint="eastAsia"/>
              </w:rPr>
              <w:t>DSP</w:t>
            </w:r>
          </w:p>
          <w:p w14:paraId="391AAF0F"/>
        </w:tc>
        <w:tc>
          <w:tcPr>
            <w:tcW w:w="6266" w:type="dxa"/>
          </w:tcPr>
          <w:p w14:paraId="4FBAA146">
            <w:r>
              <w:t>https://www.dsp.dla.mil/</w:t>
            </w:r>
          </w:p>
        </w:tc>
        <w:tc>
          <w:tcPr>
            <w:tcW w:w="617" w:type="dxa"/>
          </w:tcPr>
          <w:p w14:paraId="45C9D791">
            <w:pPr>
              <w:adjustRightInd w:val="0"/>
              <w:snapToGrid w:val="0"/>
              <w:spacing w:line="560" w:lineRule="exact"/>
            </w:pPr>
            <w:r>
              <w:rPr>
                <w:rFonts w:hint="eastAsia"/>
              </w:rPr>
              <w:t>DSP官网</w:t>
            </w:r>
          </w:p>
        </w:tc>
      </w:tr>
      <w:tr w14:paraId="5CD80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F985B3D">
            <w:r>
              <w:rPr>
                <w:rFonts w:hint="eastAsia"/>
              </w:rPr>
              <w:t>DSP</w:t>
            </w:r>
            <w:r>
              <w:t>-</w:t>
            </w:r>
            <w:r>
              <w:rPr>
                <w:rFonts w:hint="eastAsia"/>
              </w:rPr>
              <w:t>管理架构</w:t>
            </w:r>
          </w:p>
        </w:tc>
        <w:tc>
          <w:tcPr>
            <w:tcW w:w="6266" w:type="dxa"/>
          </w:tcPr>
          <w:p w14:paraId="22F111F2">
            <w:r>
              <w:t>https://www.dsp.dla.mil/Home/Management-Structure/</w:t>
            </w:r>
          </w:p>
        </w:tc>
        <w:tc>
          <w:tcPr>
            <w:tcW w:w="617" w:type="dxa"/>
          </w:tcPr>
          <w:p w14:paraId="154A4224">
            <w:pPr>
              <w:adjustRightInd w:val="0"/>
              <w:snapToGrid w:val="0"/>
              <w:spacing w:line="560" w:lineRule="exact"/>
            </w:pPr>
          </w:p>
        </w:tc>
      </w:tr>
      <w:tr w14:paraId="6C46D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7B729FB">
            <w:r>
              <w:rPr>
                <w:rFonts w:hint="eastAsia"/>
              </w:rPr>
              <w:t>DSP</w:t>
            </w:r>
            <w:r>
              <w:t>-</w:t>
            </w:r>
            <w:r>
              <w:rPr>
                <w:rFonts w:hint="eastAsia"/>
              </w:rPr>
              <w:t>历史</w:t>
            </w:r>
          </w:p>
        </w:tc>
        <w:tc>
          <w:tcPr>
            <w:tcW w:w="6266" w:type="dxa"/>
          </w:tcPr>
          <w:p w14:paraId="78D2720C">
            <w:r>
              <w:t>https://www.dsp.dla.mil/Home/History-of-the-DSP/</w:t>
            </w:r>
          </w:p>
        </w:tc>
        <w:tc>
          <w:tcPr>
            <w:tcW w:w="617" w:type="dxa"/>
          </w:tcPr>
          <w:p w14:paraId="3C6E3DD5">
            <w:pPr>
              <w:adjustRightInd w:val="0"/>
              <w:snapToGrid w:val="0"/>
              <w:spacing w:line="560" w:lineRule="exact"/>
            </w:pPr>
          </w:p>
        </w:tc>
      </w:tr>
      <w:tr w14:paraId="30A54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4C3D354">
            <w:r>
              <w:rPr>
                <w:rFonts w:hint="eastAsia"/>
              </w:rPr>
              <w:t>DSP</w:t>
            </w:r>
            <w:r>
              <w:t>-</w:t>
            </w:r>
            <w:r>
              <w:rPr>
                <w:rFonts w:hint="eastAsia"/>
              </w:rPr>
              <w:t>宗旨使命愿景</w:t>
            </w:r>
          </w:p>
        </w:tc>
        <w:tc>
          <w:tcPr>
            <w:tcW w:w="6266" w:type="dxa"/>
          </w:tcPr>
          <w:p w14:paraId="178F303C">
            <w:r>
              <w:t>https://www.dsp.dla.mil/Home/Mission/</w:t>
            </w:r>
          </w:p>
        </w:tc>
        <w:tc>
          <w:tcPr>
            <w:tcW w:w="617" w:type="dxa"/>
          </w:tcPr>
          <w:p w14:paraId="6B3A24DE">
            <w:pPr>
              <w:adjustRightInd w:val="0"/>
              <w:snapToGrid w:val="0"/>
              <w:spacing w:line="560" w:lineRule="exact"/>
            </w:pPr>
          </w:p>
        </w:tc>
      </w:tr>
      <w:tr w14:paraId="4FF55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F7735BC">
            <w:r>
              <w:rPr>
                <w:rFonts w:hint="eastAsia"/>
              </w:rPr>
              <w:t>SE</w:t>
            </w:r>
            <w:r>
              <w:t>&amp;A</w:t>
            </w:r>
            <w:r>
              <w:rPr>
                <w:rFonts w:hint="eastAsia"/>
              </w:rPr>
              <w:t xml:space="preserve"> DSP</w:t>
            </w:r>
          </w:p>
        </w:tc>
        <w:tc>
          <w:tcPr>
            <w:tcW w:w="6266" w:type="dxa"/>
          </w:tcPr>
          <w:p w14:paraId="2B555B71">
            <w:r>
              <w:t>https://www.cto.mil/sea/dsp/</w:t>
            </w:r>
          </w:p>
        </w:tc>
        <w:tc>
          <w:tcPr>
            <w:tcW w:w="617" w:type="dxa"/>
          </w:tcPr>
          <w:p w14:paraId="04A1D858">
            <w:pPr>
              <w:adjustRightInd w:val="0"/>
              <w:snapToGrid w:val="0"/>
              <w:spacing w:line="560" w:lineRule="exact"/>
            </w:pPr>
          </w:p>
        </w:tc>
      </w:tr>
      <w:tr w14:paraId="5519D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20CDE3D">
            <w:r>
              <w:rPr>
                <w:rFonts w:hint="eastAsia"/>
              </w:rPr>
              <w:t>三军MOSA备忘录</w:t>
            </w:r>
          </w:p>
        </w:tc>
        <w:tc>
          <w:tcPr>
            <w:tcW w:w="6266" w:type="dxa"/>
          </w:tcPr>
          <w:p w14:paraId="12B67446">
            <w:r>
              <w:t>https://www.dsp.dla.mil/Portals/26/Documents/PolicyAndGuidance/Memo-Modular%20Open%20Systems%20Approach%202024.pdf</w:t>
            </w:r>
          </w:p>
        </w:tc>
        <w:tc>
          <w:tcPr>
            <w:tcW w:w="617" w:type="dxa"/>
          </w:tcPr>
          <w:p w14:paraId="7C97580D">
            <w:pPr>
              <w:adjustRightInd w:val="0"/>
              <w:snapToGrid w:val="0"/>
              <w:spacing w:line="560" w:lineRule="exact"/>
            </w:pPr>
          </w:p>
        </w:tc>
      </w:tr>
      <w:tr w14:paraId="5646E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AFADE70">
            <w:r>
              <w:t>SE&amp;A</w:t>
            </w:r>
            <w:r>
              <w:rPr>
                <w:rFonts w:hint="eastAsia"/>
              </w:rPr>
              <w:t>办公室</w:t>
            </w:r>
          </w:p>
        </w:tc>
        <w:tc>
          <w:tcPr>
            <w:tcW w:w="6266" w:type="dxa"/>
          </w:tcPr>
          <w:p w14:paraId="65344CA5">
            <w:r>
              <w:t>https://www.cto.mil/sea/about/</w:t>
            </w:r>
          </w:p>
        </w:tc>
        <w:tc>
          <w:tcPr>
            <w:tcW w:w="617" w:type="dxa"/>
          </w:tcPr>
          <w:p w14:paraId="226D4D9B">
            <w:pPr>
              <w:adjustRightInd w:val="0"/>
              <w:snapToGrid w:val="0"/>
              <w:spacing w:line="560" w:lineRule="exact"/>
            </w:pPr>
          </w:p>
        </w:tc>
      </w:tr>
      <w:tr w14:paraId="3C79D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9865963">
            <w:r>
              <w:rPr>
                <w:rFonts w:hint="eastAsia"/>
              </w:rPr>
              <w:t>国防采购项目中的MOSA参考框架</w:t>
            </w:r>
          </w:p>
        </w:tc>
        <w:tc>
          <w:tcPr>
            <w:tcW w:w="6266" w:type="dxa"/>
          </w:tcPr>
          <w:p w14:paraId="32201B35">
            <w:r>
              <w:t>https://www.cto.mil/wp-content/uploads/2023/06/MOSA-Framework-2020.pdf</w:t>
            </w:r>
          </w:p>
        </w:tc>
        <w:tc>
          <w:tcPr>
            <w:tcW w:w="617" w:type="dxa"/>
          </w:tcPr>
          <w:p w14:paraId="14C09DFE">
            <w:pPr>
              <w:adjustRightInd w:val="0"/>
              <w:snapToGrid w:val="0"/>
              <w:spacing w:line="560" w:lineRule="exact"/>
            </w:pPr>
          </w:p>
        </w:tc>
      </w:tr>
      <w:tr w14:paraId="0DE9D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906C409">
            <w:r>
              <w:rPr>
                <w:rFonts w:hint="eastAsia"/>
              </w:rPr>
              <w:t>MOSA</w:t>
            </w:r>
          </w:p>
        </w:tc>
        <w:tc>
          <w:tcPr>
            <w:tcW w:w="6266" w:type="dxa"/>
          </w:tcPr>
          <w:p w14:paraId="039B489E">
            <w:r>
              <w:t>https://www.dau.edu/acquipedia-article/modular-open-systems-approach-mosa</w:t>
            </w:r>
          </w:p>
        </w:tc>
        <w:tc>
          <w:tcPr>
            <w:tcW w:w="617" w:type="dxa"/>
          </w:tcPr>
          <w:p w14:paraId="773D837A">
            <w:pPr>
              <w:adjustRightInd w:val="0"/>
              <w:snapToGrid w:val="0"/>
              <w:spacing w:line="560" w:lineRule="exact"/>
            </w:pPr>
          </w:p>
        </w:tc>
      </w:tr>
      <w:tr w14:paraId="03EDF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E849CC5">
            <w:r>
              <w:rPr>
                <w:rFonts w:hint="eastAsia"/>
              </w:rPr>
              <w:t>PPT</w:t>
            </w:r>
          </w:p>
        </w:tc>
        <w:tc>
          <w:tcPr>
            <w:tcW w:w="6266" w:type="dxa"/>
          </w:tcPr>
          <w:p w14:paraId="207F191F">
            <w:r>
              <w:t>https://ndia.dtic.mil/wp-content/uploads/2022/systems/Wed_24548_Geier.pdf</w:t>
            </w:r>
          </w:p>
        </w:tc>
        <w:tc>
          <w:tcPr>
            <w:tcW w:w="617" w:type="dxa"/>
          </w:tcPr>
          <w:p w14:paraId="46F36EC9">
            <w:pPr>
              <w:adjustRightInd w:val="0"/>
              <w:snapToGrid w:val="0"/>
              <w:spacing w:line="560" w:lineRule="exact"/>
            </w:pPr>
          </w:p>
        </w:tc>
      </w:tr>
      <w:tr w14:paraId="5A5D0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BD709BC"/>
        </w:tc>
        <w:tc>
          <w:tcPr>
            <w:tcW w:w="6266" w:type="dxa"/>
          </w:tcPr>
          <w:p w14:paraId="639D6B21">
            <w:r>
              <w:t>https://www.dau.edu/acquisition-knowledge-matrix?field_acquisition_category_target_id=185150&amp;page=0</w:t>
            </w:r>
          </w:p>
        </w:tc>
        <w:tc>
          <w:tcPr>
            <w:tcW w:w="617" w:type="dxa"/>
          </w:tcPr>
          <w:p w14:paraId="2923B82B">
            <w:pPr>
              <w:adjustRightInd w:val="0"/>
              <w:snapToGrid w:val="0"/>
              <w:spacing w:line="560" w:lineRule="exact"/>
            </w:pPr>
          </w:p>
        </w:tc>
      </w:tr>
      <w:tr w14:paraId="6C075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D15D1DE">
            <w:r>
              <w:rPr>
                <w:rFonts w:hint="eastAsia"/>
              </w:rPr>
              <w:t>海军MOSA指南</w:t>
            </w:r>
          </w:p>
        </w:tc>
        <w:tc>
          <w:tcPr>
            <w:tcW w:w="6266" w:type="dxa"/>
          </w:tcPr>
          <w:p w14:paraId="0920F5D6">
            <w:r>
              <w:t>https://www.cto.mil/wp-content/uploads/2025/05/Naval-MOSA-Implementation-Guide-V1.0.pdf</w:t>
            </w:r>
          </w:p>
        </w:tc>
        <w:tc>
          <w:tcPr>
            <w:tcW w:w="617" w:type="dxa"/>
          </w:tcPr>
          <w:p w14:paraId="5083D175">
            <w:pPr>
              <w:adjustRightInd w:val="0"/>
              <w:snapToGrid w:val="0"/>
              <w:spacing w:line="560" w:lineRule="exact"/>
            </w:pPr>
          </w:p>
        </w:tc>
      </w:tr>
      <w:tr w14:paraId="79301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FAC9271">
            <w:r>
              <w:t>Implementing a Modular Open Systems Approach in Department of Defense Programs</w:t>
            </w:r>
          </w:p>
        </w:tc>
        <w:tc>
          <w:tcPr>
            <w:tcW w:w="6266" w:type="dxa"/>
          </w:tcPr>
          <w:p w14:paraId="4A7AD92F">
            <w:r>
              <w:t>https://www.cto.mil/wp-content/uploads/2025/03/MOSA-Implementation-Guidebook-27Feb2025-Cleared.pdf</w:t>
            </w:r>
          </w:p>
        </w:tc>
        <w:tc>
          <w:tcPr>
            <w:tcW w:w="617" w:type="dxa"/>
          </w:tcPr>
          <w:p w14:paraId="65EABBB6">
            <w:pPr>
              <w:adjustRightInd w:val="0"/>
              <w:snapToGrid w:val="0"/>
              <w:spacing w:line="560" w:lineRule="exact"/>
            </w:pPr>
          </w:p>
        </w:tc>
      </w:tr>
      <w:tr w14:paraId="729DA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49234FA">
            <w:r>
              <w:t xml:space="preserve">PEO Aviation MOSA </w:t>
            </w:r>
          </w:p>
          <w:p w14:paraId="3807321D">
            <w:r>
              <w:t>Implementation Guide Skinny</w:t>
            </w:r>
          </w:p>
        </w:tc>
        <w:tc>
          <w:tcPr>
            <w:tcW w:w="6266" w:type="dxa"/>
          </w:tcPr>
          <w:p w14:paraId="071A4D78">
            <w:r>
              <w:t>https://api.army.mil/e2/c/downloads/2021/08/17/8857ac93/peo-implementation-guide-skinny.pdf</w:t>
            </w:r>
          </w:p>
        </w:tc>
        <w:tc>
          <w:tcPr>
            <w:tcW w:w="617" w:type="dxa"/>
          </w:tcPr>
          <w:p w14:paraId="171A9A49">
            <w:pPr>
              <w:adjustRightInd w:val="0"/>
              <w:snapToGrid w:val="0"/>
              <w:spacing w:line="560" w:lineRule="exact"/>
            </w:pPr>
          </w:p>
        </w:tc>
      </w:tr>
      <w:tr w14:paraId="07791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4A9B120">
            <w:r>
              <w:t>MOSA-Info-Sheet-Cleared</w:t>
            </w:r>
          </w:p>
        </w:tc>
        <w:tc>
          <w:tcPr>
            <w:tcW w:w="6266" w:type="dxa"/>
          </w:tcPr>
          <w:p w14:paraId="1CFCEEB8">
            <w:r>
              <w:t>https://www.cto.mil/wp-content/uploads/2025/03/MOSA-Info-Sheet-Cleared-20250314.pdf</w:t>
            </w:r>
          </w:p>
        </w:tc>
        <w:tc>
          <w:tcPr>
            <w:tcW w:w="617" w:type="dxa"/>
          </w:tcPr>
          <w:p w14:paraId="2E5ED75F">
            <w:pPr>
              <w:adjustRightInd w:val="0"/>
              <w:snapToGrid w:val="0"/>
              <w:spacing w:line="560" w:lineRule="exact"/>
            </w:pPr>
          </w:p>
        </w:tc>
      </w:tr>
      <w:tr w14:paraId="474CD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BB845C9">
            <w:r>
              <w:rPr>
                <w:rFonts w:hint="eastAsia"/>
              </w:rPr>
              <w:t>空军指南</w:t>
            </w:r>
          </w:p>
        </w:tc>
        <w:tc>
          <w:tcPr>
            <w:tcW w:w="6266" w:type="dxa"/>
          </w:tcPr>
          <w:p w14:paraId="775A1266">
            <w:r>
              <w:t>https://guide.dafdto.com/wp-content/uploads/2023/11/AFMC-Guidebook-for-Implementing-MOSA-in-Weapon-Systems_V2.0_Distro_A.pdf</w:t>
            </w:r>
          </w:p>
        </w:tc>
        <w:tc>
          <w:tcPr>
            <w:tcW w:w="617" w:type="dxa"/>
          </w:tcPr>
          <w:p w14:paraId="5580BFD9">
            <w:pPr>
              <w:adjustRightInd w:val="0"/>
              <w:snapToGrid w:val="0"/>
              <w:spacing w:line="560" w:lineRule="exact"/>
            </w:pPr>
          </w:p>
        </w:tc>
      </w:tr>
    </w:tbl>
    <w:p w14:paraId="6AF30403">
      <w:pPr>
        <w:adjustRightInd w:val="0"/>
        <w:snapToGrid w:val="0"/>
        <w:spacing w:line="560" w:lineRule="exact"/>
        <w:rPr>
          <w:b/>
          <w:bCs/>
          <w:sz w:val="32"/>
          <w:szCs w:val="32"/>
        </w:rPr>
      </w:pPr>
    </w:p>
    <w:p w14:paraId="07EDC760">
      <w:pPr>
        <w:adjustRightInd w:val="0"/>
        <w:snapToGrid w:val="0"/>
        <w:spacing w:line="560" w:lineRule="exact"/>
        <w:rPr>
          <w:b/>
          <w:bCs/>
          <w:sz w:val="32"/>
          <w:szCs w:val="32"/>
        </w:rPr>
      </w:pPr>
      <w:r>
        <w:rPr>
          <w:rFonts w:hint="eastAsia"/>
          <w:b/>
          <w:bCs/>
          <w:sz w:val="32"/>
          <w:szCs w:val="32"/>
        </w:rPr>
        <w:t>MOSA（Mo</w:t>
      </w:r>
      <w:r>
        <w:rPr>
          <w:b/>
          <w:bCs/>
          <w:sz w:val="32"/>
          <w:szCs w:val="32"/>
        </w:rPr>
        <w:t>dular Open Systems Approach</w:t>
      </w:r>
      <w:r>
        <w:rPr>
          <w:rFonts w:hint="eastAsia"/>
          <w:b/>
          <w:bCs/>
          <w:sz w:val="32"/>
          <w:szCs w:val="32"/>
        </w:rPr>
        <w:t>）模块化开放系统方法</w:t>
      </w:r>
    </w:p>
    <w:p w14:paraId="48067116">
      <w:pPr>
        <w:adjustRightInd w:val="0"/>
        <w:snapToGrid w:val="0"/>
        <w:spacing w:line="560" w:lineRule="exact"/>
        <w:rPr>
          <w:b/>
          <w:bCs/>
          <w:sz w:val="32"/>
          <w:szCs w:val="32"/>
        </w:rPr>
      </w:pPr>
    </w:p>
    <w:p w14:paraId="3A2D3036">
      <w:pPr>
        <w:adjustRightInd w:val="0"/>
        <w:snapToGrid w:val="0"/>
        <w:spacing w:line="560" w:lineRule="exact"/>
        <w:rPr>
          <w:rFonts w:ascii="Segoe UI" w:hAnsi="Segoe UI" w:cs="Segoe UI"/>
          <w:shd w:val="clear" w:color="auto" w:fill="FFFFFF"/>
        </w:rPr>
      </w:pPr>
      <w:r>
        <w:rPr>
          <w:rFonts w:hint="eastAsia"/>
          <w:b/>
          <w:bCs/>
          <w:sz w:val="32"/>
          <w:szCs w:val="32"/>
        </w:rPr>
        <w:t xml:space="preserve">国防标准化计划 </w:t>
      </w:r>
      <w:r>
        <w:rPr>
          <w:rFonts w:ascii="Segoe UI" w:hAnsi="Segoe UI" w:cs="Segoe UI"/>
          <w:shd w:val="clear" w:color="auto" w:fill="FFFFFF"/>
        </w:rPr>
        <w:t>Defense Standardization Program (DSP)</w:t>
      </w:r>
    </w:p>
    <w:p w14:paraId="729F4B93">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任务：</w:t>
      </w:r>
    </w:p>
    <w:p w14:paraId="64233CF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目的（Purpose）</w:t>
      </w:r>
    </w:p>
    <w:p w14:paraId="36E5AAD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我们在整个国防部（DOD）倡导标准化，以降低成本并提高作战效能。</w:t>
      </w:r>
    </w:p>
    <w:p w14:paraId="23D6CF6C">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使命（Mission）</w:t>
      </w:r>
    </w:p>
    <w:p w14:paraId="02E01E42">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我们为作战人员、采办界和后勤界识别、影响、开发、管理并提供标准化流程、产品和服务的获取途径，以促进互操作性、降低总拥有成本并维持战备状态。</w:t>
      </w:r>
    </w:p>
    <w:p w14:paraId="6AF56A0B">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愿景（Vision）</w:t>
      </w:r>
    </w:p>
    <w:p w14:paraId="63F21E4F">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DSP是一个全面、综合的标准化项目，连接国防部的采办、作战、保障以及相关的军事和民用领域。</w:t>
      </w:r>
    </w:p>
    <w:p w14:paraId="5A81A646">
      <w:pPr>
        <w:adjustRightInd w:val="0"/>
        <w:snapToGrid w:val="0"/>
        <w:rPr>
          <w:rFonts w:ascii="Segoe UI" w:hAnsi="Segoe UI" w:cs="Segoe UI"/>
          <w:shd w:val="clear" w:color="auto" w:fill="FFFFFF"/>
        </w:rPr>
      </w:pPr>
    </w:p>
    <w:p w14:paraId="3AD4A2A6">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国防标准化计划历史：</w:t>
      </w:r>
      <w:r>
        <w:rPr>
          <w:rFonts w:ascii="Segoe UI" w:hAnsi="Segoe UI" w:cs="Segoe UI"/>
          <w:shd w:val="clear" w:color="auto" w:fill="FFFFFF"/>
        </w:rPr>
        <w:t>https://www.dsp.dla.mil/Home/History-of-the-DSP/</w:t>
      </w:r>
    </w:p>
    <w:p w14:paraId="0A707E45">
      <w:pPr>
        <w:adjustRightInd w:val="0"/>
        <w:snapToGrid w:val="0"/>
        <w:rPr>
          <w:b/>
          <w:bCs/>
          <w:sz w:val="32"/>
          <w:szCs w:val="32"/>
        </w:rPr>
      </w:pPr>
      <w:r>
        <w:rPr>
          <w:b/>
          <w:bCs/>
          <w:sz w:val="32"/>
          <w:szCs w:val="32"/>
        </w:rPr>
        <w:drawing>
          <wp:inline distT="0" distB="0" distL="0" distR="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365790" cy="4197715"/>
                    </a:xfrm>
                    <a:prstGeom prst="rect">
                      <a:avLst/>
                    </a:prstGeom>
                  </pic:spPr>
                </pic:pic>
              </a:graphicData>
            </a:graphic>
          </wp:inline>
        </w:drawing>
      </w:r>
    </w:p>
    <w:p w14:paraId="18A8C6E1">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年7月1日前是所有联合标准化工作都是军事组织认识到标准化的好处并自愿共同努力投入资源和支持以换取未来利益的结果。1952 年 7 月 1 日，当第 82 届国会通过名为“国防编目和标准化法案”的第 436 号公法时，合作军事标准化工作的自愿性质成为法定</w:t>
      </w:r>
      <w:r>
        <w:rPr>
          <w:b/>
          <w:bCs/>
          <w:sz w:val="32"/>
          <w:szCs w:val="32"/>
        </w:rPr>
        <w:br w:type="textWrapping"/>
      </w:r>
      <w:r>
        <w:rPr>
          <w:rFonts w:hint="eastAsia"/>
          <w:b/>
          <w:bCs/>
          <w:sz w:val="32"/>
          <w:szCs w:val="32"/>
        </w:rPr>
        <w:t>在负责研究与工程的国防部副部长 （USD（R&amp;E）） 的领导下国防标准化计划办公室在国防标准化执行局和国防标准化委员会的监督下管理 DSP 的日常活动</w:t>
      </w:r>
    </w:p>
    <w:p w14:paraId="1DE266DA">
      <w:pPr>
        <w:adjustRightInd w:val="0"/>
        <w:snapToGrid w:val="0"/>
        <w:rPr>
          <w:b/>
          <w:bCs/>
          <w:sz w:val="32"/>
          <w:szCs w:val="32"/>
        </w:rPr>
      </w:pPr>
    </w:p>
    <w:p w14:paraId="11908D1E">
      <w:pPr>
        <w:adjustRightInd w:val="0"/>
        <w:snapToGrid w:val="0"/>
        <w:rPr>
          <w:b/>
          <w:bCs/>
          <w:sz w:val="32"/>
          <w:szCs w:val="32"/>
        </w:rPr>
      </w:pPr>
      <w:r>
        <w:rPr>
          <w:rFonts w:hint="eastAsia"/>
          <w:b/>
          <w:bCs/>
          <w:sz w:val="32"/>
          <w:szCs w:val="32"/>
        </w:rPr>
        <w:t>DSP包含MOSA</w:t>
      </w:r>
    </w:p>
    <w:p w14:paraId="71827C28">
      <w:pPr>
        <w:adjustRightInd w:val="0"/>
        <w:snapToGrid w:val="0"/>
        <w:rPr>
          <w:b/>
          <w:bCs/>
          <w:sz w:val="32"/>
          <w:szCs w:val="32"/>
        </w:rPr>
      </w:pPr>
      <w:r>
        <w:rPr>
          <w:b/>
          <w:bCs/>
          <w:sz w:val="32"/>
          <w:szCs w:val="32"/>
        </w:rPr>
        <w:drawing>
          <wp:inline distT="0" distB="0" distL="0" distR="0">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066692" cy="2000543"/>
                    </a:xfrm>
                    <a:prstGeom prst="rect">
                      <a:avLst/>
                    </a:prstGeom>
                  </pic:spPr>
                </pic:pic>
              </a:graphicData>
            </a:graphic>
          </wp:inline>
        </w:drawing>
      </w:r>
    </w:p>
    <w:p w14:paraId="35E1F694">
      <w:pPr>
        <w:adjustRightInd w:val="0"/>
        <w:snapToGrid w:val="0"/>
        <w:rPr>
          <w:b/>
          <w:bCs/>
          <w:sz w:val="32"/>
          <w:szCs w:val="32"/>
        </w:rPr>
      </w:pPr>
      <w:r>
        <w:rPr>
          <w:b/>
          <w:bCs/>
          <w:sz w:val="32"/>
          <w:szCs w:val="32"/>
        </w:rPr>
        <w:t>https://www.dsp.dla.mil/Programs/</w:t>
      </w:r>
    </w:p>
    <w:p w14:paraId="38BD62E8">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DSPO准备通过维护国内外多个网络以及与国防部组件、联邦机构和行业的主题专家一起参与材料标准化事务来确保完成 DSP 的使命。DSPO 的许多项目和举措都属于以下核心计划领域：</w:t>
      </w:r>
    </w:p>
    <w:p w14:paraId="548841A3">
      <w:pPr>
        <w:adjustRightInd w:val="0"/>
        <w:snapToGrid w:val="0"/>
        <w:rPr>
          <w:rFonts w:ascii="Arial" w:hAnsi="Arial" w:cs="Arial"/>
          <w:color w:val="000000"/>
          <w:sz w:val="20"/>
          <w:szCs w:val="20"/>
          <w:shd w:val="clear" w:color="auto" w:fill="FFFFFF"/>
        </w:rPr>
      </w:pPr>
    </w:p>
    <w:p w14:paraId="0A4ADE83">
      <w:pPr>
        <w:adjustRightInd w:val="0"/>
        <w:snapToGrid w:val="0"/>
        <w:spacing w:line="560" w:lineRule="exact"/>
        <w:rPr>
          <w:b/>
          <w:bCs/>
          <w:sz w:val="32"/>
          <w:szCs w:val="32"/>
        </w:rPr>
      </w:pPr>
    </w:p>
    <w:p w14:paraId="75470853">
      <w:pPr>
        <w:adjustRightInd w:val="0"/>
        <w:snapToGrid w:val="0"/>
        <w:spacing w:line="560" w:lineRule="exact"/>
        <w:rPr>
          <w:b/>
          <w:bCs/>
          <w:sz w:val="22"/>
          <w:szCs w:val="22"/>
        </w:rPr>
      </w:pPr>
      <w:r>
        <w:fldChar w:fldCharType="begin"/>
      </w:r>
      <w:r>
        <w:instrText xml:space="preserve"> HYPERLINK "https://www.dau.edu/search?search=MOSA" </w:instrText>
      </w:r>
      <w:r>
        <w:fldChar w:fldCharType="separate"/>
      </w:r>
      <w:r>
        <w:rPr>
          <w:rStyle w:val="7"/>
          <w:b/>
          <w:bCs/>
          <w:sz w:val="32"/>
          <w:szCs w:val="32"/>
        </w:rPr>
        <w:t>https://www.dau.edu/search?search=MOSA</w:t>
      </w:r>
      <w:r>
        <w:rPr>
          <w:rStyle w:val="7"/>
          <w:b/>
          <w:bCs/>
          <w:sz w:val="32"/>
          <w:szCs w:val="32"/>
        </w:rPr>
        <w:fldChar w:fldCharType="end"/>
      </w:r>
      <w:r>
        <w:rPr>
          <w:b/>
          <w:bCs/>
          <w:sz w:val="32"/>
          <w:szCs w:val="32"/>
        </w:rPr>
        <w:br w:type="textWrapping"/>
      </w:r>
      <w:r>
        <w:rPr>
          <w:rFonts w:hint="eastAsia"/>
          <w:b/>
          <w:bCs/>
          <w:sz w:val="32"/>
          <w:szCs w:val="32"/>
        </w:rPr>
        <w:t>更多资料</w:t>
      </w:r>
      <w:r>
        <w:rPr>
          <w:b/>
          <w:bCs/>
          <w:sz w:val="32"/>
          <w:szCs w:val="32"/>
        </w:rPr>
        <w:br w:type="textWrapping"/>
      </w:r>
      <w:r>
        <w:rPr>
          <w:rFonts w:hint="eastAsia"/>
          <w:b/>
          <w:bCs/>
          <w:sz w:val="22"/>
          <w:szCs w:val="22"/>
        </w:rPr>
        <w:t>1. 核心参考与政策类 (权威性高，用于指导工作)</w:t>
      </w:r>
    </w:p>
    <w:p w14:paraId="411755F5">
      <w:pPr>
        <w:adjustRightInd w:val="0"/>
        <w:snapToGrid w:val="0"/>
        <w:spacing w:line="560" w:lineRule="exact"/>
        <w:rPr>
          <w:b/>
          <w:bCs/>
          <w:sz w:val="22"/>
          <w:szCs w:val="22"/>
        </w:rPr>
      </w:pPr>
      <w:r>
        <w:rPr>
          <w:rFonts w:hint="eastAsia"/>
          <w:b/>
          <w:bCs/>
          <w:sz w:val="22"/>
          <w:szCs w:val="22"/>
        </w:rPr>
        <w:t>Acquipedia Article (Acquipedia 文章): 这是DAU的核心知识库，类似于维基百科。内容涵盖采办、技术、后勤等领域的术语、政策和流程，是官方的权威参考。</w:t>
      </w:r>
    </w:p>
    <w:p w14:paraId="374970F2">
      <w:pPr>
        <w:adjustRightInd w:val="0"/>
        <w:snapToGrid w:val="0"/>
        <w:spacing w:line="560" w:lineRule="exact"/>
        <w:rPr>
          <w:b/>
          <w:bCs/>
          <w:sz w:val="22"/>
          <w:szCs w:val="22"/>
        </w:rPr>
      </w:pPr>
      <w:r>
        <w:rPr>
          <w:rFonts w:hint="eastAsia"/>
          <w:b/>
          <w:bCs/>
          <w:sz w:val="22"/>
          <w:szCs w:val="22"/>
        </w:rPr>
        <w:t>Publications (出版物): 形式更正式的文档，如手册、指南、研究报告等，通常内容更深入、系统。</w:t>
      </w:r>
    </w:p>
    <w:p w14:paraId="177EBEB2">
      <w:pPr>
        <w:adjustRightInd w:val="0"/>
        <w:snapToGrid w:val="0"/>
        <w:spacing w:line="560" w:lineRule="exact"/>
        <w:rPr>
          <w:b/>
          <w:bCs/>
          <w:sz w:val="22"/>
          <w:szCs w:val="22"/>
        </w:rPr>
      </w:pPr>
      <w:r>
        <w:rPr>
          <w:rFonts w:hint="eastAsia"/>
          <w:b/>
          <w:bCs/>
          <w:sz w:val="22"/>
          <w:szCs w:val="22"/>
        </w:rPr>
        <w:t>AAFDID Pages: 这很可能是 “空军联邦采办信息系统索引” 的相关页面，提供与空军采办系统相关的特定政策、程序和资源。</w:t>
      </w:r>
    </w:p>
    <w:p w14:paraId="746670C7">
      <w:pPr>
        <w:adjustRightInd w:val="0"/>
        <w:snapToGrid w:val="0"/>
        <w:spacing w:line="560" w:lineRule="exact"/>
        <w:rPr>
          <w:b/>
          <w:bCs/>
          <w:sz w:val="32"/>
          <w:szCs w:val="32"/>
        </w:rPr>
      </w:pPr>
      <w:r>
        <w:rPr>
          <w:rStyle w:val="16"/>
        </w:rPr>
        <w:t>Implementing a Modular Open Systems Approach in Department of Defense Programs</w:t>
      </w:r>
      <w:r>
        <w:rPr>
          <w:rStyle w:val="16"/>
        </w:rPr>
        <w:br w:type="textWrapping"/>
      </w:r>
      <w:r>
        <w:rPr>
          <w:rStyle w:val="16"/>
          <w:rFonts w:hint="eastAsia"/>
        </w:rPr>
        <w:t>已下载到本地</w:t>
      </w:r>
    </w:p>
    <w:p w14:paraId="19017263">
      <w:pPr>
        <w:adjustRightInd w:val="0"/>
        <w:snapToGrid w:val="0"/>
        <w:spacing w:line="560" w:lineRule="exact"/>
        <w:rPr>
          <w:b/>
          <w:bCs/>
          <w:sz w:val="32"/>
          <w:szCs w:val="32"/>
        </w:rPr>
      </w:pPr>
    </w:p>
    <w:p w14:paraId="678E0F9D">
      <w:pPr>
        <w:adjustRightInd w:val="0"/>
        <w:snapToGrid w:val="0"/>
        <w:spacing w:line="560" w:lineRule="exact"/>
        <w:rPr>
          <w:b/>
          <w:bCs/>
          <w:sz w:val="32"/>
          <w:szCs w:val="32"/>
        </w:rPr>
      </w:pPr>
      <w:r>
        <w:fldChar w:fldCharType="begin"/>
      </w:r>
      <w:r>
        <w:instrText xml:space="preserve"> HYPERLINK "https://www.gao.gov/products/gao-25-106931" </w:instrText>
      </w:r>
      <w:r>
        <w:fldChar w:fldCharType="separate"/>
      </w:r>
      <w:r>
        <w:rPr>
          <w:rStyle w:val="7"/>
          <w:b/>
          <w:bCs/>
          <w:sz w:val="32"/>
          <w:szCs w:val="32"/>
        </w:rPr>
        <w:t>https://www.gao.gov/products/gao-25-106931</w:t>
      </w:r>
      <w:r>
        <w:rPr>
          <w:rStyle w:val="7"/>
          <w:b/>
          <w:bCs/>
          <w:sz w:val="32"/>
          <w:szCs w:val="32"/>
        </w:rPr>
        <w:fldChar w:fldCharType="end"/>
      </w:r>
      <w:r>
        <w:rPr>
          <w:b/>
          <w:bCs/>
          <w:sz w:val="32"/>
          <w:szCs w:val="32"/>
        </w:rPr>
        <w:br w:type="textWrapping"/>
      </w:r>
      <w:r>
        <w:rPr>
          <w:rFonts w:hint="eastAsia"/>
          <w:b/>
          <w:bCs/>
          <w:sz w:val="32"/>
          <w:szCs w:val="32"/>
        </w:rPr>
        <w:t>美国政府问责局（U.S. Government Accountability Office，简称 GAO） 的官方网站。GAO 是美国国会下属的独立非党派联邦机构，核心职能是为国会提供客观、专业的审计、评估与调查服务，监督联邦政府的公共资金使用、政策执行与机构运作，确保政府行政效率与财政问责，堪称美国 “联邦政府的 watchdog（监督者）”。</w:t>
      </w:r>
    </w:p>
    <w:p w14:paraId="4FF9D718">
      <w:pPr>
        <w:adjustRightInd w:val="0"/>
        <w:snapToGrid w:val="0"/>
        <w:spacing w:line="560" w:lineRule="exact"/>
        <w:rPr>
          <w:b/>
          <w:bCs/>
          <w:sz w:val="32"/>
          <w:szCs w:val="32"/>
        </w:rPr>
      </w:pPr>
    </w:p>
    <w:p w14:paraId="3EBDA47C">
      <w:pPr>
        <w:adjustRightInd w:val="0"/>
        <w:snapToGrid w:val="0"/>
        <w:spacing w:line="560" w:lineRule="exact"/>
        <w:rPr>
          <w:b/>
          <w:bCs/>
          <w:sz w:val="32"/>
          <w:szCs w:val="32"/>
        </w:rPr>
      </w:pPr>
    </w:p>
    <w:p w14:paraId="0C5C110D">
      <w:pPr>
        <w:adjustRightInd w:val="0"/>
        <w:snapToGrid w:val="0"/>
        <w:spacing w:line="560" w:lineRule="exact"/>
        <w:rPr>
          <w:b/>
          <w:bCs/>
          <w:sz w:val="32"/>
          <w:szCs w:val="32"/>
        </w:rPr>
      </w:pPr>
    </w:p>
    <w:p w14:paraId="4306D7B2">
      <w:pPr>
        <w:adjustRightInd w:val="0"/>
        <w:snapToGrid w:val="0"/>
        <w:spacing w:line="560" w:lineRule="exact"/>
        <w:rPr>
          <w:b/>
          <w:bCs/>
          <w:sz w:val="32"/>
          <w:szCs w:val="32"/>
        </w:rPr>
      </w:pPr>
      <w:r>
        <w:rPr>
          <w:b/>
          <w:bCs/>
          <w:sz w:val="32"/>
          <w:szCs w:val="32"/>
        </w:rPr>
        <w:t>https://www.navair.navy.mil/MOSA</w:t>
      </w:r>
    </w:p>
    <w:p w14:paraId="788D9570">
      <w:pPr>
        <w:adjustRightInd w:val="0"/>
        <w:snapToGrid w:val="0"/>
        <w:spacing w:line="560" w:lineRule="exact"/>
        <w:rPr>
          <w:b/>
          <w:bCs/>
          <w:sz w:val="32"/>
          <w:szCs w:val="32"/>
        </w:rPr>
      </w:pPr>
      <w:r>
        <w:rPr>
          <w:rFonts w:hint="eastAsia"/>
          <w:b/>
          <w:bCs/>
          <w:sz w:val="32"/>
          <w:szCs w:val="32"/>
        </w:rPr>
        <w:t>：美国海军航空系统司令部</w:t>
      </w:r>
    </w:p>
    <w:p w14:paraId="6AAAD85B">
      <w:pPr>
        <w:adjustRightInd w:val="0"/>
        <w:snapToGrid w:val="0"/>
        <w:spacing w:line="560" w:lineRule="exact"/>
        <w:rPr>
          <w:b/>
          <w:bCs/>
          <w:sz w:val="32"/>
          <w:szCs w:val="32"/>
        </w:rPr>
      </w:pPr>
    </w:p>
    <w:p w14:paraId="373AFFD7">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6D759A58">
      <w:pPr>
        <w:adjustRightInd w:val="0"/>
        <w:snapToGrid w:val="0"/>
        <w:spacing w:line="560" w:lineRule="exact"/>
        <w:rPr>
          <w:b/>
          <w:bCs/>
          <w:sz w:val="32"/>
          <w:szCs w:val="32"/>
        </w:rPr>
      </w:pPr>
    </w:p>
    <w:p w14:paraId="53AF077F">
      <w:pPr>
        <w:adjustRightInd w:val="0"/>
        <w:snapToGrid w:val="0"/>
        <w:spacing w:line="560" w:lineRule="exact"/>
        <w:rPr>
          <w:b/>
          <w:bCs/>
          <w:sz w:val="32"/>
          <w:szCs w:val="32"/>
        </w:rPr>
      </w:pPr>
      <w:r>
        <w:fldChar w:fldCharType="begin"/>
      </w:r>
      <w:r>
        <w:instrText xml:space="preserve"> HYPERLINK "https://www.acquisition.gov/afars/modular-open-systems-approach-mosa-10-u.s.-code-%C2%A7-4401" </w:instrText>
      </w:r>
      <w:r>
        <w:fldChar w:fldCharType="separate"/>
      </w:r>
      <w:r>
        <w:rPr>
          <w:rStyle w:val="7"/>
          <w:b/>
          <w:bCs/>
          <w:sz w:val="32"/>
          <w:szCs w:val="32"/>
        </w:rPr>
        <w:t>https://www.acquisition.gov/afars/modular-open-systems-approach-mosa-10-u.s.-code-%C2%A7-4401</w:t>
      </w:r>
      <w:r>
        <w:rPr>
          <w:rStyle w:val="7"/>
          <w:b/>
          <w:bCs/>
          <w:sz w:val="32"/>
          <w:szCs w:val="32"/>
        </w:rPr>
        <w:fldChar w:fldCharType="end"/>
      </w:r>
      <w:r>
        <w:rPr>
          <w:b/>
          <w:bCs/>
          <w:sz w:val="32"/>
          <w:szCs w:val="32"/>
        </w:rPr>
        <w:br w:type="textWrapping"/>
      </w:r>
      <w:r>
        <w:rPr>
          <w:rFonts w:hint="eastAsia"/>
          <w:b/>
          <w:bCs/>
          <w:sz w:val="32"/>
          <w:szCs w:val="32"/>
        </w:rPr>
        <w:t>暂未确定是什么</w:t>
      </w:r>
    </w:p>
    <w:p w14:paraId="7CBF71C5">
      <w:pPr>
        <w:adjustRightInd w:val="0"/>
        <w:snapToGrid w:val="0"/>
        <w:spacing w:line="560" w:lineRule="exact"/>
        <w:rPr>
          <w:b/>
          <w:bCs/>
          <w:sz w:val="32"/>
          <w:szCs w:val="32"/>
        </w:rPr>
      </w:pPr>
      <w:r>
        <w:rPr>
          <w:b/>
          <w:bCs/>
          <w:sz w:val="32"/>
          <w:szCs w:val="32"/>
        </w:rPr>
        <w:t>https://www.dau.edu/cop/mosa</w:t>
      </w:r>
    </w:p>
    <w:p w14:paraId="577C7C37">
      <w:pPr>
        <w:adjustRightInd w:val="0"/>
        <w:snapToGrid w:val="0"/>
        <w:spacing w:line="560" w:lineRule="exact"/>
        <w:rPr>
          <w:b/>
          <w:bCs/>
          <w:sz w:val="32"/>
          <w:szCs w:val="32"/>
        </w:rPr>
      </w:pPr>
      <w:r>
        <w:rPr>
          <w:b/>
          <w:bCs/>
          <w:sz w:val="32"/>
          <w:szCs w:val="32"/>
        </w:rPr>
        <w:t>https://www.omg.org/mosa/</w:t>
      </w:r>
    </w:p>
    <w:p w14:paraId="5DB62850">
      <w:pPr>
        <w:adjustRightInd w:val="0"/>
        <w:snapToGrid w:val="0"/>
        <w:spacing w:line="560" w:lineRule="exact"/>
      </w:pPr>
      <w:r>
        <w:rPr>
          <w:rFonts w:hint="eastAsia"/>
          <w:b/>
          <w:bCs/>
          <w:sz w:val="32"/>
          <w:szCs w:val="32"/>
        </w:rPr>
        <w:t>主要资料：</w:t>
      </w:r>
    </w:p>
    <w:p w14:paraId="30357934">
      <w:pPr>
        <w:adjustRightInd w:val="0"/>
        <w:snapToGrid w:val="0"/>
        <w:spacing w:line="560" w:lineRule="exact"/>
        <w:rPr>
          <w:b/>
          <w:bCs/>
          <w:sz w:val="32"/>
          <w:szCs w:val="32"/>
        </w:rPr>
      </w:pPr>
      <w:r>
        <w:fldChar w:fldCharType="begin"/>
      </w:r>
      <w:r>
        <w:instrText xml:space="preserve"> HYPERLINK "https://www.cto.mil/sea/mosa/" </w:instrText>
      </w:r>
      <w:r>
        <w:fldChar w:fldCharType="separate"/>
      </w:r>
      <w:r>
        <w:rPr>
          <w:rStyle w:val="7"/>
          <w:b/>
          <w:bCs/>
          <w:sz w:val="32"/>
          <w:szCs w:val="32"/>
        </w:rPr>
        <w:t>https://www.cto.mil/sea/mosa/</w:t>
      </w:r>
      <w:r>
        <w:rPr>
          <w:rStyle w:val="7"/>
          <w:b/>
          <w:bCs/>
          <w:sz w:val="32"/>
          <w:szCs w:val="32"/>
        </w:rPr>
        <w:fldChar w:fldCharType="end"/>
      </w:r>
    </w:p>
    <w:p w14:paraId="0E778833">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1AB0CADF">
      <w:pPr>
        <w:adjustRightInd w:val="0"/>
        <w:snapToGrid w:val="0"/>
        <w:spacing w:line="560" w:lineRule="exact"/>
        <w:rPr>
          <w:b/>
          <w:bCs/>
          <w:sz w:val="32"/>
          <w:szCs w:val="32"/>
        </w:rPr>
      </w:pPr>
      <w:r>
        <w:rPr>
          <w:rFonts w:hint="eastAsia"/>
          <w:b/>
          <w:bCs/>
          <w:sz w:val="32"/>
          <w:szCs w:val="32"/>
        </w:rPr>
        <w:t>网站下有一些资源、法条之类的</w:t>
      </w:r>
    </w:p>
    <w:p w14:paraId="0B638549">
      <w:pPr>
        <w:adjustRightInd w:val="0"/>
        <w:snapToGrid w:val="0"/>
        <w:spacing w:line="560" w:lineRule="exact"/>
        <w:rPr>
          <w:b/>
          <w:bCs/>
          <w:sz w:val="32"/>
          <w:szCs w:val="32"/>
        </w:rPr>
      </w:pPr>
      <w:r>
        <w:rPr>
          <w:rFonts w:hint="eastAsia"/>
          <w:b/>
          <w:bCs/>
          <w:sz w:val="32"/>
          <w:szCs w:val="32"/>
        </w:rPr>
        <w:t xml:space="preserve"> </w:t>
      </w:r>
    </w:p>
    <w:p w14:paraId="03FD04CF">
      <w:pPr>
        <w:adjustRightInd w:val="0"/>
        <w:snapToGrid w:val="0"/>
        <w:spacing w:line="560" w:lineRule="exact"/>
        <w:rPr>
          <w:b/>
          <w:bCs/>
          <w:sz w:val="32"/>
          <w:szCs w:val="32"/>
        </w:rPr>
      </w:pPr>
      <w:r>
        <w:rPr>
          <w:b/>
          <w:bCs/>
          <w:sz w:val="32"/>
          <w:szCs w:val="32"/>
        </w:rPr>
        <w:t>https://www.dsp.dla.mil/Programs/MOSA/</w:t>
      </w:r>
    </w:p>
    <w:p w14:paraId="1CAE3106">
      <w:pPr>
        <w:adjustRightInd w:val="0"/>
        <w:snapToGrid w:val="0"/>
        <w:spacing w:line="560" w:lineRule="exact"/>
        <w:rPr>
          <w:b/>
          <w:bCs/>
          <w:sz w:val="32"/>
          <w:szCs w:val="32"/>
        </w:rPr>
      </w:pPr>
      <w:r>
        <w:t>这个链接指向的是</w:t>
      </w:r>
      <w:r>
        <w:rPr>
          <w:rStyle w:val="8"/>
        </w:rPr>
        <w:t>DLA(Defense Logistics Agency) 的官方网站</w:t>
      </w:r>
      <w:r>
        <w:t>，即</w:t>
      </w:r>
      <w:r>
        <w:rPr>
          <w:rStyle w:val="8"/>
        </w:rPr>
        <w:t>美国国防后勤局</w:t>
      </w:r>
      <w:r>
        <w:t>的主页。DLA是美国国防部下属的一个关键机构，负责管理和提供全球范围内的后勤和物资支持，确保美国军队及其他政府机构的运营需求得到满足。</w:t>
      </w:r>
    </w:p>
    <w:p w14:paraId="619B7304">
      <w:pPr>
        <w:adjustRightInd w:val="0"/>
        <w:snapToGrid w:val="0"/>
        <w:spacing w:line="560" w:lineRule="exact"/>
        <w:rPr>
          <w:b/>
          <w:bCs/>
          <w:sz w:val="32"/>
          <w:szCs w:val="32"/>
        </w:rPr>
      </w:pPr>
    </w:p>
    <w:p w14:paraId="2398575E">
      <w:pPr>
        <w:adjustRightInd w:val="0"/>
        <w:snapToGrid w:val="0"/>
        <w:spacing w:line="560" w:lineRule="exact"/>
        <w:rPr>
          <w:b/>
          <w:bCs/>
          <w:sz w:val="32"/>
          <w:szCs w:val="32"/>
        </w:rPr>
      </w:pPr>
      <w:r>
        <w:rPr>
          <w:rFonts w:hint="eastAsia"/>
          <w:b/>
          <w:bCs/>
          <w:sz w:val="32"/>
          <w:szCs w:val="32"/>
        </w:rPr>
        <w:t>FACE未来机载能力环境</w:t>
      </w:r>
    </w:p>
    <w:p w14:paraId="265C6EBE">
      <w:pPr>
        <w:adjustRightInd w:val="0"/>
        <w:snapToGrid w:val="0"/>
        <w:spacing w:line="560" w:lineRule="exact"/>
        <w:rPr>
          <w:b/>
          <w:bCs/>
          <w:sz w:val="32"/>
          <w:szCs w:val="32"/>
        </w:rPr>
      </w:pPr>
      <w:r>
        <w:rPr>
          <w:rFonts w:hint="eastAsia"/>
          <w:b/>
          <w:bCs/>
          <w:sz w:val="32"/>
          <w:szCs w:val="32"/>
        </w:rPr>
        <w:t>SOSA传感器开放式体系架构</w:t>
      </w:r>
    </w:p>
    <w:p w14:paraId="43112E57">
      <w:pPr>
        <w:adjustRightInd w:val="0"/>
        <w:snapToGrid w:val="0"/>
        <w:spacing w:line="560" w:lineRule="exact"/>
        <w:rPr>
          <w:b/>
          <w:bCs/>
          <w:sz w:val="32"/>
          <w:szCs w:val="32"/>
        </w:rPr>
      </w:pPr>
      <w:r>
        <w:rPr>
          <w:rFonts w:hint="eastAsia"/>
          <w:b/>
          <w:bCs/>
          <w:sz w:val="32"/>
          <w:szCs w:val="32"/>
        </w:rPr>
        <w:t>https://abaco.com/sosa 是 Abaco Systems 公司旗下聚焦 “传感器开放系统架构（SOSA™）” 的专题网页，</w:t>
      </w:r>
    </w:p>
    <w:p w14:paraId="052B85BE">
      <w:pPr>
        <w:adjustRightInd w:val="0"/>
        <w:snapToGrid w:val="0"/>
        <w:spacing w:line="560" w:lineRule="exact"/>
        <w:rPr>
          <w:b/>
          <w:bCs/>
          <w:sz w:val="32"/>
          <w:szCs w:val="32"/>
        </w:rPr>
      </w:pPr>
    </w:p>
    <w:p w14:paraId="71B67E19">
      <w:pPr>
        <w:adjustRightInd w:val="0"/>
        <w:snapToGrid w:val="0"/>
        <w:spacing w:line="560" w:lineRule="exact"/>
        <w:rPr>
          <w:b/>
          <w:bCs/>
          <w:sz w:val="32"/>
          <w:szCs w:val="32"/>
        </w:rPr>
      </w:pPr>
      <w:r>
        <w:rPr>
          <w:rFonts w:hint="eastAsia"/>
          <w:b/>
          <w:bCs/>
          <w:sz w:val="32"/>
          <w:szCs w:val="32"/>
        </w:rPr>
        <w:t>SCA开放式软件通信架构</w:t>
      </w:r>
    </w:p>
    <w:p w14:paraId="01106824">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6D77E5A6">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2BB1F077">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6462DE78">
      <w:pPr>
        <w:adjustRightInd w:val="0"/>
        <w:snapToGrid w:val="0"/>
        <w:spacing w:line="560" w:lineRule="exact"/>
        <w:rPr>
          <w:b/>
          <w:bCs/>
          <w:sz w:val="32"/>
          <w:szCs w:val="32"/>
        </w:rPr>
      </w:pPr>
      <w:r>
        <w:rPr>
          <w:rFonts w:hint="eastAsia"/>
          <w:b/>
          <w:bCs/>
          <w:sz w:val="32"/>
          <w:szCs w:val="32"/>
        </w:rPr>
        <w:t>DoDAF</w:t>
      </w:r>
    </w:p>
    <w:p w14:paraId="3FFD883F">
      <w:pPr>
        <w:adjustRightInd w:val="0"/>
        <w:snapToGrid w:val="0"/>
        <w:spacing w:line="560" w:lineRule="exact"/>
        <w:ind w:firstLine="640" w:firstLineChars="200"/>
        <w:rPr>
          <w:sz w:val="32"/>
          <w:szCs w:val="32"/>
        </w:rPr>
      </w:pPr>
      <w:r>
        <w:rPr>
          <w:rFonts w:hint="eastAsia"/>
          <w:sz w:val="32"/>
          <w:szCs w:val="32"/>
        </w:rPr>
        <w:t>开放式系统架构（Open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）有多种定义，例如美国军用标准草案《系统工程》（MIL</w:t>
      </w:r>
      <w:r>
        <w:rPr>
          <w:sz w:val="32"/>
          <w:szCs w:val="32"/>
        </w:rPr>
        <w:t>-</w:t>
      </w:r>
      <w:r>
        <w:rPr>
          <w:rFonts w:hint="eastAsia"/>
          <w:sz w:val="32"/>
          <w:szCs w:val="32"/>
        </w:rPr>
        <w:t>STD</w:t>
      </w:r>
      <w:r>
        <w:rPr>
          <w:sz w:val="32"/>
          <w:szCs w:val="32"/>
        </w:rPr>
        <w:t>-499</w:t>
      </w:r>
      <w:r>
        <w:rPr>
          <w:rFonts w:hint="eastAsia"/>
          <w:sz w:val="32"/>
          <w:szCs w:val="32"/>
        </w:rPr>
        <w:t>B）中定义如下：</w:t>
      </w:r>
    </w:p>
    <w:p w14:paraId="7C60ACE1">
      <w:pPr>
        <w:adjustRightInd w:val="0"/>
        <w:snapToGrid w:val="0"/>
        <w:spacing w:line="560" w:lineRule="exact"/>
        <w:ind w:firstLine="640" w:firstLineChars="20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p>
    <w:p w14:paraId="23D52555">
      <w:pPr>
        <w:adjustRightInd w:val="0"/>
        <w:snapToGrid w:val="0"/>
        <w:spacing w:line="560" w:lineRule="exact"/>
        <w:ind w:firstLine="640" w:firstLineChars="200"/>
        <w:rPr>
          <w:rFonts w:ascii="Segoe UI" w:hAnsi="Segoe UI" w:cs="Segoe UI"/>
          <w:sz w:val="32"/>
          <w:szCs w:val="32"/>
          <w:shd w:val="clear" w:color="auto" w:fill="FFFFFF"/>
        </w:rPr>
      </w:pPr>
      <w:r>
        <w:rPr>
          <w:rFonts w:hint="eastAsia" w:ascii="Segoe UI" w:hAnsi="Segoe UI" w:cs="Segoe UI"/>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4305EF71">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55BF996B">
      <w:pPr>
        <w:adjustRightInd w:val="0"/>
        <w:snapToGrid w:val="0"/>
        <w:spacing w:line="560" w:lineRule="exact"/>
        <w:ind w:firstLine="640" w:firstLineChars="200"/>
        <w:rPr>
          <w:sz w:val="32"/>
          <w:szCs w:val="32"/>
        </w:rPr>
      </w:pPr>
      <w:r>
        <w:rPr>
          <w:rFonts w:hint="eastAsia"/>
          <w:sz w:val="32"/>
          <w:szCs w:val="32"/>
        </w:rPr>
        <w:t>对于软件开放式架构，未找到非常权威的定义，互联网上摘录的定义是：软件开放式架构（Open Software Architecture）是一种以“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326D6FC5">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2B65A080">
      <w:pPr>
        <w:adjustRightInd w:val="0"/>
        <w:snapToGrid w:val="0"/>
        <w:spacing w:line="560" w:lineRule="exact"/>
        <w:ind w:firstLine="640" w:firstLineChars="200"/>
        <w:rPr>
          <w:sz w:val="32"/>
          <w:szCs w:val="32"/>
        </w:rPr>
      </w:pPr>
      <w:r>
        <w:rPr>
          <w:rFonts w:hint="eastAsia"/>
          <w:sz w:val="32"/>
          <w:szCs w:val="32"/>
        </w:rPr>
        <w:t>软件开放式架构与开放式系统架构应该是包含与被包含关系，开放式系统架构包含软件开放式架构。1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74CB105C">
      <w:pPr>
        <w:adjustRightInd w:val="0"/>
        <w:snapToGrid w:val="0"/>
        <w:spacing w:line="560" w:lineRule="exact"/>
        <w:ind w:firstLine="640" w:firstLineChars="200"/>
        <w:rPr>
          <w:sz w:val="32"/>
          <w:szCs w:val="32"/>
        </w:rPr>
      </w:pPr>
      <w:r>
        <w:rPr>
          <w:rFonts w:hint="eastAsia"/>
          <w:sz w:val="32"/>
          <w:szCs w:val="32"/>
        </w:rPr>
        <w:t>按照PP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2D3F8CAA">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7A041751">
      <w:pPr>
        <w:adjustRightInd w:val="0"/>
        <w:snapToGrid w:val="0"/>
        <w:spacing w:line="560" w:lineRule="exact"/>
        <w:ind w:firstLine="640" w:firstLineChars="200"/>
        <w:rPr>
          <w:sz w:val="32"/>
          <w:szCs w:val="32"/>
        </w:rPr>
      </w:pPr>
      <w:r>
        <w:rPr>
          <w:rFonts w:hint="eastAsia"/>
          <w:sz w:val="32"/>
          <w:szCs w:val="32"/>
        </w:rPr>
        <w:t>软件开放式架构主要具有如下的特点，为对每个特点进行形象化的理解，对特点进行了举例说明：</w:t>
      </w:r>
    </w:p>
    <w:p w14:paraId="09FF7C29">
      <w:pPr>
        <w:adjustRightInd w:val="0"/>
        <w:snapToGrid w:val="0"/>
        <w:spacing w:line="560" w:lineRule="exact"/>
        <w:ind w:firstLine="640" w:firstLineChars="20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294ADC94">
      <w:pPr>
        <w:adjustRightInd w:val="0"/>
        <w:snapToGrid w:val="0"/>
        <w:spacing w:line="560" w:lineRule="exact"/>
        <w:ind w:firstLine="640" w:firstLineChars="200"/>
        <w:rPr>
          <w:sz w:val="32"/>
          <w:szCs w:val="32"/>
        </w:rPr>
      </w:pPr>
      <w:r>
        <w:rPr>
          <w:rFonts w:hint="eastAsia"/>
          <w:sz w:val="32"/>
          <w:szCs w:val="32"/>
        </w:rPr>
        <w:t>例如：POSIX（Portable Operating System Interface，可移植操作系统接口）是一系列标准的统称，主要用于提升软件在不同操作系统（尤其是各种Unix变体）之间的可移植性。明确规定了：一个兼容的操作系统必须提供哪些C语言函数接口Shell和常用命令行工具的行为标准。文件系统、进程线程模型、信号机制等的基本运作规则。如果一个操作系统遵循了POSIX标准，那么为POSIX标准编写的应用程序就可以很容易地移植到这个系统上，通常只需要重新编译一下即可。</w:t>
      </w:r>
    </w:p>
    <w:p w14:paraId="37FCEFA2">
      <w:pPr>
        <w:adjustRightInd w:val="0"/>
        <w:snapToGrid w:val="0"/>
        <w:spacing w:line="560" w:lineRule="exact"/>
        <w:ind w:firstLine="640" w:firstLineChars="200"/>
        <w:rPr>
          <w:sz w:val="32"/>
          <w:szCs w:val="32"/>
        </w:rPr>
      </w:pPr>
      <w:r>
        <w:rPr>
          <w:rFonts w:hint="eastAsia"/>
          <w:sz w:val="32"/>
          <w:szCs w:val="32"/>
        </w:rPr>
        <w:t>（2）模块化：将整个系统划分为一系列功能明确、边界清晰的独立模块。每个模块负责一个特定的子功能，模块内部高度内聚，模块之间松耦合。</w:t>
      </w:r>
    </w:p>
    <w:p w14:paraId="7D81F9D5">
      <w:pPr>
        <w:adjustRightInd w:val="0"/>
        <w:snapToGrid w:val="0"/>
        <w:spacing w:line="560" w:lineRule="exact"/>
        <w:ind w:firstLine="640" w:firstLineChars="20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E5A545D">
      <w:pPr>
        <w:adjustRightInd w:val="0"/>
        <w:snapToGrid w:val="0"/>
        <w:spacing w:line="560" w:lineRule="exact"/>
        <w:ind w:firstLine="640" w:firstLineChars="200"/>
        <w:rPr>
          <w:rFonts w:ascii="宋体" w:hAnsi="宋体" w:cs="Segoe UI"/>
          <w:color w:val="404040"/>
          <w:sz w:val="32"/>
          <w:szCs w:val="32"/>
          <w:shd w:val="clear" w:color="auto" w:fill="FFFFFF"/>
        </w:rPr>
      </w:pPr>
      <w:r>
        <w:rPr>
          <w:rFonts w:hint="eastAsia"/>
          <w:sz w:val="32"/>
          <w:szCs w:val="32"/>
        </w:rPr>
        <w:t>（3）软件与硬件解耦：</w:t>
      </w:r>
      <w:r>
        <w:rPr>
          <w:rFonts w:hint="eastAsia" w:ascii="Segoe UI" w:hAnsi="Segoe UI" w:cs="Segoe UI"/>
          <w:color w:val="404040"/>
          <w:sz w:val="32"/>
          <w:szCs w:val="32"/>
          <w:shd w:val="clear" w:color="auto" w:fill="FFFFFF"/>
        </w:rPr>
        <w:t>软件与硬件之间的相互依赖度很低。</w:t>
      </w:r>
    </w:p>
    <w:p w14:paraId="6A637AE1">
      <w:pPr>
        <w:adjustRightInd w:val="0"/>
        <w:snapToGrid w:val="0"/>
        <w:spacing w:line="560" w:lineRule="exact"/>
        <w:ind w:firstLine="640" w:firstLineChars="200"/>
        <w:rPr>
          <w:sz w:val="32"/>
          <w:szCs w:val="32"/>
        </w:rPr>
      </w:pPr>
      <w:r>
        <w:rPr>
          <w:rFonts w:hint="eastAsia" w:ascii="宋体" w:hAnsi="宋体" w:cs="Segoe UI"/>
          <w:color w:val="404040"/>
          <w:sz w:val="32"/>
          <w:szCs w:val="32"/>
          <w:shd w:val="clear" w:color="auto" w:fill="FFFFFF"/>
        </w:rPr>
        <w:t>例如：机载软件中的某个模块可以移植到多个厂家开发的符合同一标准的不同硬件上。</w:t>
      </w:r>
    </w:p>
    <w:p w14:paraId="056DF6C3">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66A05554">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2FF66417">
      <w:pPr>
        <w:adjustRightInd w:val="0"/>
        <w:snapToGrid w:val="0"/>
        <w:spacing w:line="560" w:lineRule="exact"/>
        <w:ind w:firstLine="640" w:firstLineChars="200"/>
        <w:rPr>
          <w:sz w:val="32"/>
          <w:szCs w:val="32"/>
        </w:rPr>
      </w:pPr>
      <w:r>
        <w:rPr>
          <w:rFonts w:hint="eastAsia"/>
          <w:sz w:val="32"/>
          <w:szCs w:val="32"/>
        </w:rPr>
        <w:t>例如：某型号飞机可以快速根据已有的硬件平台资源，开发新的任务模块，并更新到机上运行。</w:t>
      </w:r>
    </w:p>
    <w:p w14:paraId="1A6A8167">
      <w:pPr>
        <w:pStyle w:val="3"/>
      </w:pPr>
      <w:r>
        <w:t>2.</w:t>
      </w:r>
      <w:r>
        <w:rPr>
          <w:rFonts w:hint="eastAsia"/>
        </w:rPr>
        <w:t>软件开放式架构的优势（收益）</w:t>
      </w:r>
    </w:p>
    <w:p w14:paraId="02F304FE">
      <w:pPr>
        <w:adjustRightInd w:val="0"/>
        <w:snapToGrid w:val="0"/>
        <w:spacing w:line="560" w:lineRule="exact"/>
        <w:ind w:firstLine="640" w:firstLineChars="20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0133D12">
      <w:pPr>
        <w:adjustRightInd w:val="0"/>
        <w:snapToGrid w:val="0"/>
        <w:spacing w:line="560" w:lineRule="exact"/>
        <w:ind w:firstLine="640" w:firstLineChars="20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3D1AA93E">
      <w:pPr>
        <w:adjustRightInd w:val="0"/>
        <w:snapToGrid w:val="0"/>
        <w:spacing w:line="560" w:lineRule="exact"/>
        <w:ind w:firstLine="640" w:firstLineChars="200"/>
        <w:rPr>
          <w:sz w:val="32"/>
          <w:szCs w:val="32"/>
        </w:rPr>
      </w:pPr>
      <w:r>
        <w:rPr>
          <w:rFonts w:hint="eastAsia"/>
          <w:sz w:val="32"/>
          <w:szCs w:val="32"/>
        </w:rPr>
        <w:t>（1）通过软件与硬件解耦，可以实现软件和硬件的竞争性采购，降低成本。</w:t>
      </w:r>
    </w:p>
    <w:p w14:paraId="42DB87DD">
      <w:pPr>
        <w:adjustRightInd w:val="0"/>
        <w:snapToGrid w:val="0"/>
        <w:spacing w:line="560" w:lineRule="exact"/>
        <w:ind w:firstLine="640" w:firstLineChars="20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7AF8090A">
      <w:pPr>
        <w:adjustRightInd w:val="0"/>
        <w:snapToGrid w:val="0"/>
        <w:spacing w:line="560" w:lineRule="exact"/>
        <w:ind w:firstLine="640" w:firstLineChars="200"/>
        <w:rPr>
          <w:sz w:val="32"/>
          <w:szCs w:val="32"/>
        </w:rPr>
      </w:pPr>
      <w:r>
        <w:rPr>
          <w:rFonts w:hint="eastAsia"/>
          <w:sz w:val="32"/>
          <w:szCs w:val="32"/>
        </w:rPr>
        <w:t>（3）软件在不同系统中的复用将促进软件在性能和可靠性上的不断优化。</w:t>
      </w:r>
    </w:p>
    <w:p w14:paraId="187FCA15">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79784E6F">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1765EB1E">
      <w:pPr>
        <w:adjustRightInd w:val="0"/>
        <w:snapToGrid w:val="0"/>
        <w:spacing w:line="560" w:lineRule="exact"/>
        <w:ind w:firstLine="640" w:firstLineChars="20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3BF99BDD">
      <w:pPr>
        <w:adjustRightInd w:val="0"/>
        <w:snapToGrid w:val="0"/>
        <w:spacing w:line="560" w:lineRule="exact"/>
        <w:ind w:firstLine="640" w:firstLineChars="20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71DD4F70">
      <w:pPr>
        <w:adjustRightInd w:val="0"/>
        <w:snapToGrid w:val="0"/>
        <w:spacing w:line="560" w:lineRule="exact"/>
        <w:ind w:firstLine="640" w:firstLineChars="200"/>
        <w:rPr>
          <w:sz w:val="32"/>
          <w:szCs w:val="32"/>
        </w:rPr>
      </w:pPr>
      <w:r>
        <w:rPr>
          <w:rFonts w:hint="eastAsia"/>
          <w:sz w:val="32"/>
          <w:szCs w:val="32"/>
        </w:rPr>
        <w:t>软件开放性架构带来的优势，可以降低机载软件的研发成本，提高开发效率，提升软件性能，顺应机载软件的发展趋势。</w:t>
      </w:r>
    </w:p>
    <w:p w14:paraId="523D79F1">
      <w:pPr>
        <w:pStyle w:val="3"/>
      </w:pPr>
      <w:r>
        <w:t>3.</w:t>
      </w:r>
      <w:r>
        <w:rPr>
          <w:rFonts w:hint="eastAsia"/>
        </w:rPr>
        <w:t>国内发展现状</w:t>
      </w:r>
    </w:p>
    <w:p w14:paraId="1B7BEEF1">
      <w:pPr>
        <w:adjustRightInd w:val="0"/>
        <w:snapToGrid w:val="0"/>
        <w:spacing w:line="560" w:lineRule="exact"/>
        <w:ind w:firstLine="640" w:firstLineChars="20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6</w:t>
      </w:r>
      <w:r>
        <w:rPr>
          <w:sz w:val="32"/>
          <w:szCs w:val="32"/>
        </w:rPr>
        <w:t>11</w:t>
      </w:r>
      <w:r>
        <w:rPr>
          <w:rFonts w:hint="eastAsia"/>
          <w:sz w:val="32"/>
          <w:szCs w:val="32"/>
        </w:rPr>
        <w:t>所和6</w:t>
      </w:r>
      <w:r>
        <w:rPr>
          <w:sz w:val="32"/>
          <w:szCs w:val="32"/>
        </w:rPr>
        <w:t>01</w:t>
      </w:r>
      <w:r>
        <w:rPr>
          <w:rFonts w:hint="eastAsia"/>
          <w:sz w:val="32"/>
          <w:szCs w:val="32"/>
        </w:rPr>
        <w:t>所的部分资料</w:t>
      </w:r>
    </w:p>
    <w:p w14:paraId="7C8A4599">
      <w:pPr>
        <w:adjustRightInd w:val="0"/>
        <w:snapToGrid w:val="0"/>
        <w:spacing w:line="560" w:lineRule="exact"/>
        <w:ind w:firstLine="640" w:firstLineChars="20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5F9D0BAC">
      <w:pPr>
        <w:adjustRightInd w:val="0"/>
        <w:snapToGrid w:val="0"/>
        <w:spacing w:line="560" w:lineRule="exact"/>
        <w:ind w:firstLine="640" w:firstLineChars="20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2</w:t>
      </w:r>
      <w:r>
        <w:rPr>
          <w:sz w:val="32"/>
          <w:szCs w:val="32"/>
        </w:rPr>
        <w:t>0</w:t>
      </w:r>
      <w:r>
        <w:rPr>
          <w:rFonts w:hint="eastAsia"/>
          <w:sz w:val="32"/>
          <w:szCs w:val="32"/>
        </w:rPr>
        <w:t>的模块化设计，已经属于开放了）；射频综合的收益高（可能高过开放式架构）。我认为第二则材料反映6</w:t>
      </w:r>
      <w:r>
        <w:rPr>
          <w:sz w:val="32"/>
          <w:szCs w:val="32"/>
        </w:rPr>
        <w:t>11</w:t>
      </w:r>
      <w:r>
        <w:rPr>
          <w:rFonts w:hint="eastAsia"/>
          <w:sz w:val="32"/>
          <w:szCs w:val="32"/>
        </w:rPr>
        <w:t>所对开放性架构的积极性并没有那么高。</w:t>
      </w:r>
    </w:p>
    <w:p w14:paraId="26D5A086">
      <w:pPr>
        <w:adjustRightInd w:val="0"/>
        <w:snapToGrid w:val="0"/>
        <w:spacing w:line="560" w:lineRule="exact"/>
        <w:ind w:firstLine="640" w:firstLineChars="20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所材料中表明开放式架构尚未形成统一的技术体系与标准规范，存在巨大差距，且面临代差风险，急需研制体现其对开放式架构的态度积极。6</w:t>
      </w:r>
      <w:r>
        <w:rPr>
          <w:sz w:val="32"/>
          <w:szCs w:val="32"/>
        </w:rPr>
        <w:t>01</w:t>
      </w:r>
      <w:r>
        <w:rPr>
          <w:rFonts w:hint="eastAsia"/>
          <w:sz w:val="32"/>
          <w:szCs w:val="32"/>
        </w:rPr>
        <w:t>所也已开展一些开放式架构的相关工作，例如通过标准文件规定了相关标准接口，并开展了实践，其中6</w:t>
      </w:r>
      <w:r>
        <w:rPr>
          <w:sz w:val="32"/>
          <w:szCs w:val="32"/>
        </w:rPr>
        <w:t>31</w:t>
      </w:r>
      <w:r>
        <w:rPr>
          <w:rFonts w:hint="eastAsia"/>
          <w:sz w:val="32"/>
          <w:szCs w:val="32"/>
        </w:rPr>
        <w:t>所和6</w:t>
      </w:r>
      <w:r>
        <w:rPr>
          <w:sz w:val="32"/>
          <w:szCs w:val="32"/>
        </w:rPr>
        <w:t>13</w:t>
      </w:r>
      <w:r>
        <w:rPr>
          <w:rFonts w:hint="eastAsia"/>
          <w:sz w:val="32"/>
          <w:szCs w:val="32"/>
        </w:rPr>
        <w:t>所承接了部分工作。此外6</w:t>
      </w:r>
      <w:r>
        <w:rPr>
          <w:sz w:val="32"/>
          <w:szCs w:val="32"/>
        </w:rPr>
        <w:t>01</w:t>
      </w:r>
      <w:r>
        <w:rPr>
          <w:rFonts w:hint="eastAsia"/>
          <w:sz w:val="32"/>
          <w:szCs w:val="32"/>
        </w:rPr>
        <w:t>所还开展了一些研究性工作，例如基于FACE标准的数据字典建模方法研究，采用ICD设计工具设计ICD，研究自动的API接口和源代码生成技术。</w:t>
      </w:r>
    </w:p>
    <w:p w14:paraId="6C7C02C1">
      <w:pPr>
        <w:adjustRightInd w:val="0"/>
        <w:snapToGrid w:val="0"/>
        <w:spacing w:line="560" w:lineRule="exact"/>
        <w:ind w:firstLine="640" w:firstLineChars="20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所和6</w:t>
      </w:r>
      <w:r>
        <w:rPr>
          <w:sz w:val="32"/>
          <w:szCs w:val="32"/>
        </w:rPr>
        <w:t>15</w:t>
      </w:r>
      <w:r>
        <w:rPr>
          <w:rFonts w:hint="eastAsia"/>
          <w:sz w:val="32"/>
          <w:szCs w:val="32"/>
        </w:rPr>
        <w:t>所。</w:t>
      </w:r>
    </w:p>
    <w:p w14:paraId="6C828A4A">
      <w:pPr>
        <w:adjustRightInd w:val="0"/>
        <w:snapToGrid w:val="0"/>
        <w:spacing w:line="560" w:lineRule="exact"/>
        <w:ind w:firstLine="640" w:firstLineChars="20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所主要在软件化雷达领域采用了开放式架构，突破了可视化集成开发环境、轻量级低延时中间件等关键技术，开发了面向机载领域的应用组件库等。其PPT展现了6</w:t>
      </w:r>
      <w:r>
        <w:rPr>
          <w:sz w:val="32"/>
          <w:szCs w:val="32"/>
        </w:rPr>
        <w:t>07</w:t>
      </w:r>
      <w:r>
        <w:rPr>
          <w:rFonts w:hint="eastAsia"/>
          <w:sz w:val="32"/>
          <w:szCs w:val="32"/>
        </w:rPr>
        <w:t>所对开放式软件架构的理解较为深入，其中印象最深刻的有将开放式软件架构与MBSE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6700338A">
      <w:pPr>
        <w:adjustRightInd w:val="0"/>
        <w:snapToGrid w:val="0"/>
        <w:spacing w:line="560" w:lineRule="exact"/>
        <w:ind w:firstLine="640" w:firstLineChars="20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0DC61C50">
      <w:pPr>
        <w:adjustRightInd w:val="0"/>
        <w:snapToGrid w:val="0"/>
        <w:spacing w:line="560" w:lineRule="exact"/>
        <w:ind w:firstLine="640" w:firstLineChars="200"/>
        <w:rPr>
          <w:sz w:val="32"/>
          <w:szCs w:val="32"/>
        </w:rPr>
      </w:pPr>
      <w:r>
        <w:rPr>
          <w:rFonts w:hint="eastAsia"/>
          <w:sz w:val="32"/>
          <w:szCs w:val="32"/>
        </w:rPr>
        <w:t>资料表示</w:t>
      </w:r>
      <w:r>
        <w:rPr>
          <w:sz w:val="32"/>
          <w:szCs w:val="32"/>
        </w:rPr>
        <w:t>613</w:t>
      </w:r>
      <w:r>
        <w:rPr>
          <w:rFonts w:hint="eastAsia"/>
          <w:sz w:val="32"/>
          <w:szCs w:val="32"/>
        </w:rPr>
        <w:t>所和6</w:t>
      </w:r>
      <w:r>
        <w:rPr>
          <w:sz w:val="32"/>
          <w:szCs w:val="32"/>
        </w:rPr>
        <w:t>31</w:t>
      </w:r>
      <w:r>
        <w:rPr>
          <w:rFonts w:hint="eastAsia"/>
          <w:sz w:val="32"/>
          <w:szCs w:val="32"/>
        </w:rPr>
        <w:t>所参与了6</w:t>
      </w:r>
      <w:r>
        <w:rPr>
          <w:sz w:val="32"/>
          <w:szCs w:val="32"/>
        </w:rPr>
        <w:t>01</w:t>
      </w:r>
      <w:r>
        <w:rPr>
          <w:rFonts w:hint="eastAsia"/>
          <w:sz w:val="32"/>
          <w:szCs w:val="32"/>
        </w:rPr>
        <w:t>所主导的开放式架构构建。</w:t>
      </w:r>
    </w:p>
    <w:p w14:paraId="0438E11D">
      <w:pPr>
        <w:adjustRightInd w:val="0"/>
        <w:snapToGrid w:val="0"/>
        <w:spacing w:line="560" w:lineRule="exact"/>
        <w:ind w:firstLine="640" w:firstLineChars="200"/>
        <w:rPr>
          <w:sz w:val="32"/>
          <w:szCs w:val="32"/>
        </w:rPr>
      </w:pPr>
      <w:r>
        <w:rPr>
          <w:rFonts w:hint="eastAsia"/>
          <w:sz w:val="32"/>
          <w:szCs w:val="32"/>
        </w:rPr>
        <w:t>主机和成员单位在发展开放式软件架构方面已有实践并取得了一些成果，其中存在一些可借鉴之处：</w:t>
      </w:r>
    </w:p>
    <w:p w14:paraId="1520C3EB">
      <w:pPr>
        <w:adjustRightInd w:val="0"/>
        <w:snapToGrid w:val="0"/>
        <w:spacing w:line="560" w:lineRule="exact"/>
        <w:ind w:firstLine="640" w:firstLineChars="200"/>
        <w:rPr>
          <w:sz w:val="32"/>
          <w:szCs w:val="32"/>
        </w:rPr>
      </w:pPr>
      <w:r>
        <w:rPr>
          <w:rFonts w:hint="eastAsia"/>
          <w:sz w:val="32"/>
          <w:szCs w:val="32"/>
        </w:rPr>
        <w:t>（1）在操作系统和应用之间建立服务框架，实现应用与资源的解耦。（6</w:t>
      </w:r>
      <w:r>
        <w:rPr>
          <w:sz w:val="32"/>
          <w:szCs w:val="32"/>
        </w:rPr>
        <w:t>15</w:t>
      </w:r>
      <w:r>
        <w:rPr>
          <w:rFonts w:hint="eastAsia"/>
          <w:sz w:val="32"/>
          <w:szCs w:val="32"/>
        </w:rPr>
        <w:t>、6</w:t>
      </w:r>
      <w:r>
        <w:rPr>
          <w:sz w:val="32"/>
          <w:szCs w:val="32"/>
        </w:rPr>
        <w:t>07</w:t>
      </w:r>
      <w:r>
        <w:rPr>
          <w:rFonts w:hint="eastAsia"/>
          <w:sz w:val="32"/>
          <w:szCs w:val="32"/>
        </w:rPr>
        <w:t>）</w:t>
      </w:r>
    </w:p>
    <w:p w14:paraId="2508D28F">
      <w:pPr>
        <w:adjustRightInd w:val="0"/>
        <w:snapToGrid w:val="0"/>
        <w:spacing w:line="560" w:lineRule="exact"/>
        <w:ind w:firstLine="640" w:firstLineChars="200"/>
        <w:rPr>
          <w:sz w:val="32"/>
          <w:szCs w:val="32"/>
        </w:rPr>
      </w:pPr>
      <w:r>
        <w:rPr>
          <w:rFonts w:hint="eastAsia"/>
          <w:sz w:val="32"/>
          <w:szCs w:val="32"/>
        </w:rPr>
        <w:t>（2）进行开发环境和工具链设计。（6</w:t>
      </w:r>
      <w:r>
        <w:rPr>
          <w:sz w:val="32"/>
          <w:szCs w:val="32"/>
        </w:rPr>
        <w:t>15</w:t>
      </w:r>
      <w:r>
        <w:rPr>
          <w:rFonts w:hint="eastAsia"/>
          <w:sz w:val="32"/>
          <w:szCs w:val="32"/>
        </w:rPr>
        <w:t>、6</w:t>
      </w:r>
      <w:r>
        <w:rPr>
          <w:sz w:val="32"/>
          <w:szCs w:val="32"/>
        </w:rPr>
        <w:t>07</w:t>
      </w:r>
      <w:r>
        <w:rPr>
          <w:rFonts w:hint="eastAsia"/>
          <w:sz w:val="32"/>
          <w:szCs w:val="32"/>
        </w:rPr>
        <w:t>）</w:t>
      </w:r>
    </w:p>
    <w:p w14:paraId="5E8276AA">
      <w:pPr>
        <w:adjustRightInd w:val="0"/>
        <w:snapToGrid w:val="0"/>
        <w:spacing w:line="560" w:lineRule="exact"/>
        <w:ind w:firstLine="640" w:firstLineChars="200"/>
        <w:rPr>
          <w:sz w:val="32"/>
          <w:szCs w:val="32"/>
        </w:rPr>
      </w:pPr>
      <w:r>
        <w:rPr>
          <w:rFonts w:hint="eastAsia"/>
          <w:sz w:val="32"/>
          <w:szCs w:val="32"/>
        </w:rPr>
        <w:t>（3）中间件的低延时优化。（</w:t>
      </w:r>
      <w:r>
        <w:rPr>
          <w:sz w:val="32"/>
          <w:szCs w:val="32"/>
        </w:rPr>
        <w:t>607</w:t>
      </w:r>
      <w:r>
        <w:rPr>
          <w:rFonts w:hint="eastAsia"/>
          <w:sz w:val="32"/>
          <w:szCs w:val="32"/>
        </w:rPr>
        <w:t>）</w:t>
      </w:r>
    </w:p>
    <w:p w14:paraId="4E0F32DF">
      <w:pPr>
        <w:adjustRightInd w:val="0"/>
        <w:snapToGrid w:val="0"/>
        <w:spacing w:line="560" w:lineRule="exact"/>
        <w:ind w:firstLine="640" w:firstLineChars="200"/>
        <w:rPr>
          <w:sz w:val="32"/>
          <w:szCs w:val="32"/>
        </w:rPr>
      </w:pPr>
      <w:r>
        <w:rPr>
          <w:rFonts w:hint="eastAsia"/>
          <w:sz w:val="32"/>
          <w:szCs w:val="32"/>
        </w:rPr>
        <w:t>（4）与MBSE结合，以软件为中心，硬件适配软件。（6</w:t>
      </w:r>
      <w:r>
        <w:rPr>
          <w:sz w:val="32"/>
          <w:szCs w:val="32"/>
        </w:rPr>
        <w:t>07</w:t>
      </w:r>
      <w:r>
        <w:rPr>
          <w:rFonts w:hint="eastAsia"/>
          <w:sz w:val="32"/>
          <w:szCs w:val="32"/>
        </w:rPr>
        <w:t>）</w:t>
      </w:r>
    </w:p>
    <w:p w14:paraId="381F6A0E">
      <w:pPr>
        <w:adjustRightInd w:val="0"/>
        <w:snapToGrid w:val="0"/>
        <w:spacing w:line="560" w:lineRule="exact"/>
        <w:ind w:firstLine="640" w:firstLineChars="200"/>
        <w:rPr>
          <w:sz w:val="32"/>
          <w:szCs w:val="32"/>
        </w:rPr>
      </w:pPr>
      <w:r>
        <w:rPr>
          <w:rFonts w:hint="eastAsia"/>
          <w:sz w:val="32"/>
          <w:szCs w:val="32"/>
        </w:rPr>
        <w:t>（5）开发数字样机（6</w:t>
      </w:r>
      <w:r>
        <w:rPr>
          <w:sz w:val="32"/>
          <w:szCs w:val="32"/>
        </w:rPr>
        <w:t>07</w:t>
      </w:r>
      <w:r>
        <w:rPr>
          <w:rFonts w:hint="eastAsia"/>
          <w:sz w:val="32"/>
          <w:szCs w:val="32"/>
        </w:rPr>
        <w:t>）</w:t>
      </w:r>
    </w:p>
    <w:p w14:paraId="28347B25">
      <w:pPr>
        <w:adjustRightInd w:val="0"/>
        <w:snapToGrid w:val="0"/>
        <w:spacing w:line="560" w:lineRule="exact"/>
        <w:ind w:firstLine="640" w:firstLineChars="200"/>
        <w:rPr>
          <w:sz w:val="32"/>
          <w:szCs w:val="32"/>
        </w:rPr>
      </w:pPr>
      <w:r>
        <w:rPr>
          <w:rFonts w:hint="eastAsia"/>
          <w:sz w:val="32"/>
          <w:szCs w:val="32"/>
        </w:rPr>
        <w:t>（6）组件化、服务化设计（6</w:t>
      </w:r>
      <w:r>
        <w:rPr>
          <w:sz w:val="32"/>
          <w:szCs w:val="32"/>
        </w:rPr>
        <w:t>07</w:t>
      </w:r>
      <w:r>
        <w:rPr>
          <w:rFonts w:hint="eastAsia"/>
          <w:sz w:val="32"/>
          <w:szCs w:val="32"/>
        </w:rPr>
        <w:t>）</w:t>
      </w:r>
    </w:p>
    <w:p w14:paraId="00650F0A">
      <w:pPr>
        <w:adjustRightInd w:val="0"/>
        <w:snapToGrid w:val="0"/>
        <w:spacing w:line="560" w:lineRule="exact"/>
        <w:ind w:firstLine="640" w:firstLineChars="200"/>
        <w:rPr>
          <w:sz w:val="32"/>
          <w:szCs w:val="32"/>
        </w:rPr>
      </w:pPr>
      <w:r>
        <w:rPr>
          <w:rFonts w:hint="eastAsia"/>
          <w:sz w:val="32"/>
          <w:szCs w:val="32"/>
        </w:rPr>
        <w:t>（7）构建系统管理技术，例如故障定位（6</w:t>
      </w:r>
      <w:r>
        <w:rPr>
          <w:sz w:val="32"/>
          <w:szCs w:val="32"/>
        </w:rPr>
        <w:t>15</w:t>
      </w:r>
      <w:r>
        <w:rPr>
          <w:rFonts w:hint="eastAsia"/>
          <w:sz w:val="32"/>
          <w:szCs w:val="32"/>
        </w:rPr>
        <w:t>）</w:t>
      </w:r>
    </w:p>
    <w:p w14:paraId="3FFEA8E2">
      <w:pPr>
        <w:adjustRightInd w:val="0"/>
        <w:snapToGrid w:val="0"/>
        <w:spacing w:line="560" w:lineRule="exact"/>
        <w:ind w:firstLine="640" w:firstLineChars="200"/>
        <w:rPr>
          <w:sz w:val="32"/>
          <w:szCs w:val="32"/>
        </w:rPr>
      </w:pPr>
      <w:r>
        <w:rPr>
          <w:rFonts w:hint="eastAsia"/>
          <w:sz w:val="32"/>
          <w:szCs w:val="32"/>
        </w:rPr>
        <w:t>（8）构建传输协议体系（6</w:t>
      </w:r>
      <w:r>
        <w:rPr>
          <w:sz w:val="32"/>
          <w:szCs w:val="32"/>
        </w:rPr>
        <w:t>15</w:t>
      </w:r>
      <w:r>
        <w:rPr>
          <w:rFonts w:hint="eastAsia"/>
          <w:sz w:val="32"/>
          <w:szCs w:val="32"/>
        </w:rPr>
        <w:t>）</w:t>
      </w:r>
    </w:p>
    <w:p w14:paraId="27A1AD10">
      <w:pPr>
        <w:adjustRightInd w:val="0"/>
        <w:snapToGrid w:val="0"/>
        <w:spacing w:line="560" w:lineRule="exact"/>
        <w:ind w:firstLine="640" w:firstLineChars="200"/>
        <w:rPr>
          <w:sz w:val="32"/>
          <w:szCs w:val="32"/>
        </w:rPr>
      </w:pPr>
      <w:r>
        <w:rPr>
          <w:rFonts w:hint="eastAsia"/>
          <w:sz w:val="32"/>
          <w:szCs w:val="32"/>
        </w:rPr>
        <w:t>（9）接口规范化定义（6</w:t>
      </w:r>
      <w:r>
        <w:rPr>
          <w:sz w:val="32"/>
          <w:szCs w:val="32"/>
        </w:rPr>
        <w:t>01</w:t>
      </w:r>
      <w:r>
        <w:rPr>
          <w:rFonts w:hint="eastAsia"/>
          <w:sz w:val="32"/>
          <w:szCs w:val="32"/>
        </w:rPr>
        <w:t>）</w:t>
      </w:r>
    </w:p>
    <w:p w14:paraId="00790134">
      <w:pPr>
        <w:adjustRightInd w:val="0"/>
        <w:snapToGrid w:val="0"/>
        <w:spacing w:line="560" w:lineRule="exact"/>
        <w:ind w:firstLine="640" w:firstLineChars="200"/>
        <w:rPr>
          <w:sz w:val="32"/>
          <w:szCs w:val="32"/>
        </w:rPr>
      </w:pPr>
      <w:r>
        <w:rPr>
          <w:rFonts w:hint="eastAsia"/>
          <w:sz w:val="32"/>
          <w:szCs w:val="32"/>
        </w:rPr>
        <w:t>（10）接口代码生成（6</w:t>
      </w:r>
      <w:r>
        <w:rPr>
          <w:sz w:val="32"/>
          <w:szCs w:val="32"/>
        </w:rPr>
        <w:t>01</w:t>
      </w:r>
      <w:r>
        <w:rPr>
          <w:rFonts w:hint="eastAsia"/>
          <w:sz w:val="32"/>
          <w:szCs w:val="32"/>
        </w:rPr>
        <w:t>）</w:t>
      </w:r>
    </w:p>
    <w:p w14:paraId="3D2FD8D2">
      <w:pPr>
        <w:adjustRightInd w:val="0"/>
        <w:snapToGrid w:val="0"/>
        <w:spacing w:line="560" w:lineRule="exact"/>
        <w:ind w:firstLine="640" w:firstLineChars="200"/>
        <w:rPr>
          <w:sz w:val="32"/>
          <w:szCs w:val="32"/>
        </w:rPr>
      </w:pPr>
      <w:r>
        <w:rPr>
          <w:rFonts w:hint="eastAsia"/>
          <w:sz w:val="32"/>
          <w:szCs w:val="32"/>
        </w:rPr>
        <w:t>但当前开展的软件开放式架构工作仍然存在问题。最主要的问题在于缺少统一的标准和规范。虽然6</w:t>
      </w:r>
      <w:r>
        <w:rPr>
          <w:sz w:val="32"/>
          <w:szCs w:val="32"/>
        </w:rPr>
        <w:t>15</w:t>
      </w:r>
      <w:r>
        <w:rPr>
          <w:rFonts w:hint="eastAsia"/>
          <w:sz w:val="32"/>
          <w:szCs w:val="32"/>
        </w:rPr>
        <w:t>和6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6F9DBB37">
      <w:pPr>
        <w:pStyle w:val="3"/>
      </w:pPr>
      <w:r>
        <w:t>4.</w:t>
      </w:r>
      <w:r>
        <w:rPr>
          <w:rFonts w:hint="eastAsia"/>
        </w:rPr>
        <w:t>如何构建机载软件开放式架构</w:t>
      </w:r>
    </w:p>
    <w:p w14:paraId="11242ADD">
      <w:pPr>
        <w:adjustRightInd w:val="0"/>
        <w:snapToGrid w:val="0"/>
        <w:spacing w:line="300" w:lineRule="auto"/>
        <w:ind w:firstLine="640" w:firstLineChars="200"/>
        <w:rPr>
          <w:sz w:val="32"/>
          <w:szCs w:val="32"/>
        </w:rPr>
      </w:pPr>
      <w:r>
        <w:rPr>
          <w:rFonts w:hint="eastAsia"/>
          <w:sz w:val="32"/>
          <w:szCs w:val="32"/>
        </w:rPr>
        <w:t>在本小结主要表达我关于构建机载软件开放式架构的一些简单想法。</w:t>
      </w:r>
    </w:p>
    <w:p w14:paraId="338D19C2">
      <w:pPr>
        <w:adjustRightInd w:val="0"/>
        <w:snapToGrid w:val="0"/>
        <w:spacing w:line="300" w:lineRule="auto"/>
        <w:ind w:firstLine="640" w:firstLineChars="20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4721E72A">
      <w:pPr>
        <w:adjustRightInd w:val="0"/>
        <w:snapToGrid w:val="0"/>
        <w:spacing w:line="300" w:lineRule="auto"/>
        <w:ind w:firstLine="640" w:firstLineChars="20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7AAE1F3B">
      <w:pPr>
        <w:adjustRightInd w:val="0"/>
        <w:snapToGrid w:val="0"/>
        <w:spacing w:line="300" w:lineRule="auto"/>
        <w:ind w:firstLine="640" w:firstLineChars="20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04F106A2">
      <w:pPr>
        <w:adjustRightInd w:val="0"/>
        <w:snapToGrid w:val="0"/>
        <w:spacing w:line="300" w:lineRule="auto"/>
        <w:ind w:firstLine="640" w:firstLineChars="200"/>
        <w:rPr>
          <w:sz w:val="32"/>
          <w:szCs w:val="32"/>
        </w:rPr>
      </w:pPr>
      <w:r>
        <w:rPr>
          <w:rFonts w:hint="eastAsia"/>
          <w:sz w:val="32"/>
          <w:szCs w:val="32"/>
        </w:rPr>
        <w:t>需要建立工具链，解决各层级组件开发、验证和集成的问题，例如组件单独开发无法接入真实系统时的测试验证问题。</w:t>
      </w:r>
    </w:p>
    <w:p w14:paraId="2D98336B">
      <w:pPr>
        <w:adjustRightInd w:val="0"/>
        <w:snapToGrid w:val="0"/>
        <w:spacing w:line="300" w:lineRule="auto"/>
        <w:ind w:firstLine="640" w:firstLineChars="200"/>
        <w:rPr>
          <w:sz w:val="32"/>
          <w:szCs w:val="32"/>
        </w:rPr>
      </w:pPr>
      <w:r>
        <w:rPr>
          <w:rFonts w:hint="eastAsia"/>
          <w:sz w:val="32"/>
          <w:szCs w:val="32"/>
        </w:rPr>
        <w:t>需要构建和维护各层之间的接口软件。</w:t>
      </w:r>
    </w:p>
    <w:p w14:paraId="42F95D0C">
      <w:pPr>
        <w:adjustRightInd w:val="0"/>
        <w:snapToGrid w:val="0"/>
        <w:spacing w:line="300" w:lineRule="auto"/>
        <w:ind w:firstLine="640" w:firstLineChars="200"/>
        <w:rPr>
          <w:sz w:val="32"/>
          <w:szCs w:val="32"/>
        </w:rPr>
      </w:pPr>
      <w:r>
        <w:rPr>
          <w:rFonts w:hint="eastAsia"/>
          <w:sz w:val="32"/>
          <w:szCs w:val="32"/>
        </w:rPr>
        <w:t>需要探索新的合作模式，例如对一些基础设计的共建和共享。</w:t>
      </w:r>
    </w:p>
    <w:p w14:paraId="737372A4"/>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PMingLiU">
    <w:altName w:val="PMingLiU-ExtB"/>
    <w:panose1 w:val="02020500000000000000"/>
    <w:charset w:val="88"/>
    <w:family w:val="roman"/>
    <w:pitch w:val="default"/>
    <w:sig w:usb0="A00002FF" w:usb1="28CFFCFA" w:usb2="00000016" w:usb3="00000000" w:csb0="0010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細明體">
    <w:altName w:val="PMingLiU-ExtB"/>
    <w:panose1 w:val="02020509000000000000"/>
    <w:charset w:val="88"/>
    <w:family w:val="modern"/>
    <w:pitch w:val="default"/>
    <w:sig w:usb0="A00002FF" w:usb1="28CFFCFA" w:usb2="00000016" w:usb3="00000000" w:csb0="00100001" w:csb1="00000000"/>
  </w:font>
  <w:font w:name="Calibri">
    <w:panose1 w:val="020F0502020204030204"/>
    <w:charset w:val="00"/>
    <w:family w:val="swiss"/>
    <w:pitch w:val="default"/>
    <w:sig w:usb0="E4002EFF" w:usb1="C200247B" w:usb2="00000009" w:usb3="00000000" w:csb0="200001FF" w:csb1="00000000"/>
  </w:font>
  <w:font w:name="PMingLiU">
    <w:altName w:val="宋体"/>
    <w:panose1 w:val="00000000000000000000"/>
    <w:charset w:val="86"/>
    <w:family w:val="auto"/>
    <w:pitch w:val="default"/>
    <w:sig w:usb0="00000000" w:usb1="00000000" w:usb2="00000000" w:usb3="00000000" w:csb0="00000000" w:csb1="00000000"/>
  </w:font>
  <w:font w:name="黑体">
    <w:panose1 w:val="02010609060101010101"/>
    <w:charset w:val="86"/>
    <w:family w:val="modern"/>
    <w:pitch w:val="default"/>
    <w:sig w:usb0="800002BF" w:usb1="38CF7CFA" w:usb2="00000016" w:usb3="00000000" w:csb0="00040001" w:csb1="00000000"/>
  </w:font>
  <w:font w:name="TimesNewRomanPS-BoldMT">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7E24D1"/>
    <w:multiLevelType w:val="multilevel"/>
    <w:tmpl w:val="3F7E24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5BB01DF4"/>
    <w:multiLevelType w:val="singleLevel"/>
    <w:tmpl w:val="5BB01DF4"/>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52"/>
    <w:rsid w:val="00000DDF"/>
    <w:rsid w:val="000011A8"/>
    <w:rsid w:val="00021D64"/>
    <w:rsid w:val="00023CF1"/>
    <w:rsid w:val="000305B7"/>
    <w:rsid w:val="00043271"/>
    <w:rsid w:val="00046E57"/>
    <w:rsid w:val="000522FC"/>
    <w:rsid w:val="00064CDB"/>
    <w:rsid w:val="000811ED"/>
    <w:rsid w:val="000833D6"/>
    <w:rsid w:val="000A7B5F"/>
    <w:rsid w:val="000B3C6E"/>
    <w:rsid w:val="000C51A1"/>
    <w:rsid w:val="000D57D8"/>
    <w:rsid w:val="000D5E30"/>
    <w:rsid w:val="000D6228"/>
    <w:rsid w:val="000E48E0"/>
    <w:rsid w:val="000E49AE"/>
    <w:rsid w:val="000F2D0D"/>
    <w:rsid w:val="001026BA"/>
    <w:rsid w:val="00103509"/>
    <w:rsid w:val="0011049B"/>
    <w:rsid w:val="001157B6"/>
    <w:rsid w:val="00115D9A"/>
    <w:rsid w:val="001161DA"/>
    <w:rsid w:val="001233EB"/>
    <w:rsid w:val="00135763"/>
    <w:rsid w:val="0015185A"/>
    <w:rsid w:val="00154C3E"/>
    <w:rsid w:val="001570C8"/>
    <w:rsid w:val="00160DEE"/>
    <w:rsid w:val="001754B5"/>
    <w:rsid w:val="00175A0F"/>
    <w:rsid w:val="00175D18"/>
    <w:rsid w:val="00192DF3"/>
    <w:rsid w:val="001931A1"/>
    <w:rsid w:val="00194EC6"/>
    <w:rsid w:val="001A1007"/>
    <w:rsid w:val="001A18EE"/>
    <w:rsid w:val="001A299E"/>
    <w:rsid w:val="001B1E2F"/>
    <w:rsid w:val="001B71FA"/>
    <w:rsid w:val="001C262A"/>
    <w:rsid w:val="001C2AC4"/>
    <w:rsid w:val="001C5934"/>
    <w:rsid w:val="001D688C"/>
    <w:rsid w:val="001F0007"/>
    <w:rsid w:val="001F6520"/>
    <w:rsid w:val="002024D9"/>
    <w:rsid w:val="002052E5"/>
    <w:rsid w:val="002153E5"/>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BD2"/>
    <w:rsid w:val="0029717D"/>
    <w:rsid w:val="002A12B5"/>
    <w:rsid w:val="002C341A"/>
    <w:rsid w:val="002C4B04"/>
    <w:rsid w:val="002D09A4"/>
    <w:rsid w:val="002D31CC"/>
    <w:rsid w:val="002D5224"/>
    <w:rsid w:val="002D6BBE"/>
    <w:rsid w:val="002E06A1"/>
    <w:rsid w:val="002F1F74"/>
    <w:rsid w:val="003022A7"/>
    <w:rsid w:val="00323E20"/>
    <w:rsid w:val="003265C0"/>
    <w:rsid w:val="0034087F"/>
    <w:rsid w:val="0034129B"/>
    <w:rsid w:val="00352B53"/>
    <w:rsid w:val="003569D6"/>
    <w:rsid w:val="00356D9E"/>
    <w:rsid w:val="0036334F"/>
    <w:rsid w:val="00372249"/>
    <w:rsid w:val="00375470"/>
    <w:rsid w:val="00377387"/>
    <w:rsid w:val="003835E4"/>
    <w:rsid w:val="0038525A"/>
    <w:rsid w:val="00396CA6"/>
    <w:rsid w:val="003B6B88"/>
    <w:rsid w:val="003C053B"/>
    <w:rsid w:val="003C12E0"/>
    <w:rsid w:val="003C45F6"/>
    <w:rsid w:val="003C6B75"/>
    <w:rsid w:val="003C75AF"/>
    <w:rsid w:val="003D1EF3"/>
    <w:rsid w:val="003D7A8A"/>
    <w:rsid w:val="003E58D3"/>
    <w:rsid w:val="003E6750"/>
    <w:rsid w:val="003E6ECA"/>
    <w:rsid w:val="003F1A7C"/>
    <w:rsid w:val="003F566F"/>
    <w:rsid w:val="00404B56"/>
    <w:rsid w:val="004247F1"/>
    <w:rsid w:val="004422EE"/>
    <w:rsid w:val="004451F7"/>
    <w:rsid w:val="00446848"/>
    <w:rsid w:val="00446B4D"/>
    <w:rsid w:val="00446FC1"/>
    <w:rsid w:val="004578A1"/>
    <w:rsid w:val="00461EF7"/>
    <w:rsid w:val="00470CBB"/>
    <w:rsid w:val="00476D38"/>
    <w:rsid w:val="00486FB3"/>
    <w:rsid w:val="004904F9"/>
    <w:rsid w:val="0049161D"/>
    <w:rsid w:val="00494DFB"/>
    <w:rsid w:val="00495D67"/>
    <w:rsid w:val="004C07F9"/>
    <w:rsid w:val="004D05EE"/>
    <w:rsid w:val="004D7B91"/>
    <w:rsid w:val="004E0DD9"/>
    <w:rsid w:val="004F396C"/>
    <w:rsid w:val="005124A3"/>
    <w:rsid w:val="005176A8"/>
    <w:rsid w:val="00522083"/>
    <w:rsid w:val="00523156"/>
    <w:rsid w:val="00525D46"/>
    <w:rsid w:val="005418A1"/>
    <w:rsid w:val="00550D5F"/>
    <w:rsid w:val="00554501"/>
    <w:rsid w:val="0056452B"/>
    <w:rsid w:val="0056452C"/>
    <w:rsid w:val="00566168"/>
    <w:rsid w:val="005668BF"/>
    <w:rsid w:val="00575009"/>
    <w:rsid w:val="00581CA7"/>
    <w:rsid w:val="00585EF2"/>
    <w:rsid w:val="0059162F"/>
    <w:rsid w:val="00592840"/>
    <w:rsid w:val="00592927"/>
    <w:rsid w:val="005B1981"/>
    <w:rsid w:val="005B5625"/>
    <w:rsid w:val="005C394C"/>
    <w:rsid w:val="005C3ACF"/>
    <w:rsid w:val="005D0241"/>
    <w:rsid w:val="005D5DA2"/>
    <w:rsid w:val="005E535E"/>
    <w:rsid w:val="005F09EF"/>
    <w:rsid w:val="00607520"/>
    <w:rsid w:val="0061199D"/>
    <w:rsid w:val="00615EA1"/>
    <w:rsid w:val="006326EA"/>
    <w:rsid w:val="0064197B"/>
    <w:rsid w:val="0065380C"/>
    <w:rsid w:val="00655992"/>
    <w:rsid w:val="0065709D"/>
    <w:rsid w:val="0067109E"/>
    <w:rsid w:val="006719CB"/>
    <w:rsid w:val="00671CC4"/>
    <w:rsid w:val="00677AA5"/>
    <w:rsid w:val="0068062B"/>
    <w:rsid w:val="00681CB3"/>
    <w:rsid w:val="006A1344"/>
    <w:rsid w:val="006B3EE8"/>
    <w:rsid w:val="006B6D7D"/>
    <w:rsid w:val="006C10FF"/>
    <w:rsid w:val="006C42FC"/>
    <w:rsid w:val="006C7D09"/>
    <w:rsid w:val="006D444A"/>
    <w:rsid w:val="006E7252"/>
    <w:rsid w:val="006F68EF"/>
    <w:rsid w:val="006F73E1"/>
    <w:rsid w:val="00701E43"/>
    <w:rsid w:val="00711FAC"/>
    <w:rsid w:val="007160EF"/>
    <w:rsid w:val="00717B89"/>
    <w:rsid w:val="00727DB0"/>
    <w:rsid w:val="00730F22"/>
    <w:rsid w:val="0074036A"/>
    <w:rsid w:val="007526E9"/>
    <w:rsid w:val="0075582F"/>
    <w:rsid w:val="00760584"/>
    <w:rsid w:val="00767F16"/>
    <w:rsid w:val="00771597"/>
    <w:rsid w:val="00787E51"/>
    <w:rsid w:val="007C6213"/>
    <w:rsid w:val="007D1BA1"/>
    <w:rsid w:val="007E2B29"/>
    <w:rsid w:val="007E731B"/>
    <w:rsid w:val="007F0701"/>
    <w:rsid w:val="008174B4"/>
    <w:rsid w:val="00817961"/>
    <w:rsid w:val="00823A58"/>
    <w:rsid w:val="00824F50"/>
    <w:rsid w:val="00826BDE"/>
    <w:rsid w:val="00841A82"/>
    <w:rsid w:val="008425D7"/>
    <w:rsid w:val="00842952"/>
    <w:rsid w:val="00847855"/>
    <w:rsid w:val="00876144"/>
    <w:rsid w:val="00885E6F"/>
    <w:rsid w:val="00893729"/>
    <w:rsid w:val="00894E19"/>
    <w:rsid w:val="00895A28"/>
    <w:rsid w:val="00895C46"/>
    <w:rsid w:val="008A592C"/>
    <w:rsid w:val="008B1C3F"/>
    <w:rsid w:val="008D6D80"/>
    <w:rsid w:val="008E14D0"/>
    <w:rsid w:val="008E2189"/>
    <w:rsid w:val="008E6132"/>
    <w:rsid w:val="008E7232"/>
    <w:rsid w:val="008F03DC"/>
    <w:rsid w:val="008F7331"/>
    <w:rsid w:val="00901F94"/>
    <w:rsid w:val="00906E67"/>
    <w:rsid w:val="0091116B"/>
    <w:rsid w:val="009135D8"/>
    <w:rsid w:val="0092028C"/>
    <w:rsid w:val="00920DAA"/>
    <w:rsid w:val="009241E4"/>
    <w:rsid w:val="00934FDC"/>
    <w:rsid w:val="009360BA"/>
    <w:rsid w:val="00940759"/>
    <w:rsid w:val="00941A5D"/>
    <w:rsid w:val="009504FE"/>
    <w:rsid w:val="00950F74"/>
    <w:rsid w:val="009521F6"/>
    <w:rsid w:val="00961107"/>
    <w:rsid w:val="0096139B"/>
    <w:rsid w:val="00966010"/>
    <w:rsid w:val="00967267"/>
    <w:rsid w:val="00970022"/>
    <w:rsid w:val="00982974"/>
    <w:rsid w:val="0099297C"/>
    <w:rsid w:val="009A474C"/>
    <w:rsid w:val="009A5894"/>
    <w:rsid w:val="009B5174"/>
    <w:rsid w:val="009B7453"/>
    <w:rsid w:val="009C1E34"/>
    <w:rsid w:val="009C3C4E"/>
    <w:rsid w:val="009C5FDB"/>
    <w:rsid w:val="009C7C06"/>
    <w:rsid w:val="009E6FE2"/>
    <w:rsid w:val="009F71B0"/>
    <w:rsid w:val="00A17368"/>
    <w:rsid w:val="00A22226"/>
    <w:rsid w:val="00A35D93"/>
    <w:rsid w:val="00A43D1F"/>
    <w:rsid w:val="00A55D12"/>
    <w:rsid w:val="00A56385"/>
    <w:rsid w:val="00A61AC0"/>
    <w:rsid w:val="00A65797"/>
    <w:rsid w:val="00A66A2C"/>
    <w:rsid w:val="00A67859"/>
    <w:rsid w:val="00A850BD"/>
    <w:rsid w:val="00A8518D"/>
    <w:rsid w:val="00A924C2"/>
    <w:rsid w:val="00A962DA"/>
    <w:rsid w:val="00AA04EF"/>
    <w:rsid w:val="00AA644B"/>
    <w:rsid w:val="00AA7D25"/>
    <w:rsid w:val="00AB0D0A"/>
    <w:rsid w:val="00AB57A2"/>
    <w:rsid w:val="00AC1F5B"/>
    <w:rsid w:val="00AD3CF7"/>
    <w:rsid w:val="00AD5DAB"/>
    <w:rsid w:val="00AE02FB"/>
    <w:rsid w:val="00AE068E"/>
    <w:rsid w:val="00AF72D4"/>
    <w:rsid w:val="00B2735D"/>
    <w:rsid w:val="00B51413"/>
    <w:rsid w:val="00B51E2F"/>
    <w:rsid w:val="00B66001"/>
    <w:rsid w:val="00B70858"/>
    <w:rsid w:val="00B76B02"/>
    <w:rsid w:val="00B92472"/>
    <w:rsid w:val="00BA5757"/>
    <w:rsid w:val="00BB2ACA"/>
    <w:rsid w:val="00BC4989"/>
    <w:rsid w:val="00BD059F"/>
    <w:rsid w:val="00BD21C7"/>
    <w:rsid w:val="00BD5063"/>
    <w:rsid w:val="00BD7EBE"/>
    <w:rsid w:val="00BE1231"/>
    <w:rsid w:val="00BE4F0F"/>
    <w:rsid w:val="00BF379E"/>
    <w:rsid w:val="00C17507"/>
    <w:rsid w:val="00C34F18"/>
    <w:rsid w:val="00C37DFF"/>
    <w:rsid w:val="00C423CB"/>
    <w:rsid w:val="00C5056C"/>
    <w:rsid w:val="00C755D5"/>
    <w:rsid w:val="00C81572"/>
    <w:rsid w:val="00C94D83"/>
    <w:rsid w:val="00CD1BF0"/>
    <w:rsid w:val="00CD3354"/>
    <w:rsid w:val="00CD3C16"/>
    <w:rsid w:val="00CE2149"/>
    <w:rsid w:val="00D02793"/>
    <w:rsid w:val="00D05C6E"/>
    <w:rsid w:val="00D140BF"/>
    <w:rsid w:val="00D23E77"/>
    <w:rsid w:val="00D27A98"/>
    <w:rsid w:val="00D466FE"/>
    <w:rsid w:val="00D525DC"/>
    <w:rsid w:val="00D56A46"/>
    <w:rsid w:val="00D70AF0"/>
    <w:rsid w:val="00D85318"/>
    <w:rsid w:val="00D91C41"/>
    <w:rsid w:val="00D91EC5"/>
    <w:rsid w:val="00D9661F"/>
    <w:rsid w:val="00DA52A1"/>
    <w:rsid w:val="00DC1D5F"/>
    <w:rsid w:val="00DD50FE"/>
    <w:rsid w:val="00DE127D"/>
    <w:rsid w:val="00DE6810"/>
    <w:rsid w:val="00DF19C4"/>
    <w:rsid w:val="00DF5C91"/>
    <w:rsid w:val="00DF6CF2"/>
    <w:rsid w:val="00E0351A"/>
    <w:rsid w:val="00E03CF9"/>
    <w:rsid w:val="00E04880"/>
    <w:rsid w:val="00E1514C"/>
    <w:rsid w:val="00E15AF5"/>
    <w:rsid w:val="00E22701"/>
    <w:rsid w:val="00E24016"/>
    <w:rsid w:val="00E276CA"/>
    <w:rsid w:val="00E343AC"/>
    <w:rsid w:val="00E359DD"/>
    <w:rsid w:val="00E36435"/>
    <w:rsid w:val="00E36C8A"/>
    <w:rsid w:val="00E44FCD"/>
    <w:rsid w:val="00E61379"/>
    <w:rsid w:val="00E61E82"/>
    <w:rsid w:val="00E626B0"/>
    <w:rsid w:val="00E62880"/>
    <w:rsid w:val="00E6337D"/>
    <w:rsid w:val="00E6727B"/>
    <w:rsid w:val="00E854C6"/>
    <w:rsid w:val="00E87D0C"/>
    <w:rsid w:val="00E9071D"/>
    <w:rsid w:val="00E91CCB"/>
    <w:rsid w:val="00EC63E4"/>
    <w:rsid w:val="00ED1889"/>
    <w:rsid w:val="00ED660F"/>
    <w:rsid w:val="00EE3F40"/>
    <w:rsid w:val="00EF129C"/>
    <w:rsid w:val="00EF7D27"/>
    <w:rsid w:val="00F0028B"/>
    <w:rsid w:val="00F061EE"/>
    <w:rsid w:val="00F06D18"/>
    <w:rsid w:val="00F078CC"/>
    <w:rsid w:val="00F134C4"/>
    <w:rsid w:val="00F14E45"/>
    <w:rsid w:val="00F15AB3"/>
    <w:rsid w:val="00F2541C"/>
    <w:rsid w:val="00F334B4"/>
    <w:rsid w:val="00F4040C"/>
    <w:rsid w:val="00F46873"/>
    <w:rsid w:val="00F53799"/>
    <w:rsid w:val="00F627F8"/>
    <w:rsid w:val="00F76C8A"/>
    <w:rsid w:val="00F85F8A"/>
    <w:rsid w:val="00F96983"/>
    <w:rsid w:val="00FA0344"/>
    <w:rsid w:val="00FB3820"/>
    <w:rsid w:val="00FB3C58"/>
    <w:rsid w:val="00FB66D6"/>
    <w:rsid w:val="00FB6DC1"/>
    <w:rsid w:val="00FB73EA"/>
    <w:rsid w:val="00FC51B3"/>
    <w:rsid w:val="00FD3AC6"/>
    <w:rsid w:val="00FE0907"/>
    <w:rsid w:val="00FE44A9"/>
    <w:rsid w:val="010A0BCA"/>
    <w:rsid w:val="013D4B60"/>
    <w:rsid w:val="022C6982"/>
    <w:rsid w:val="0308499E"/>
    <w:rsid w:val="03D06ACE"/>
    <w:rsid w:val="05302A72"/>
    <w:rsid w:val="05557F4F"/>
    <w:rsid w:val="05A221EF"/>
    <w:rsid w:val="061E2BF1"/>
    <w:rsid w:val="062D0469"/>
    <w:rsid w:val="067A3BE0"/>
    <w:rsid w:val="06E4782C"/>
    <w:rsid w:val="06E637D5"/>
    <w:rsid w:val="072355A3"/>
    <w:rsid w:val="0A9B6453"/>
    <w:rsid w:val="0ABB39F6"/>
    <w:rsid w:val="0B5965AB"/>
    <w:rsid w:val="0BB90867"/>
    <w:rsid w:val="0BBA2DB1"/>
    <w:rsid w:val="0C74719F"/>
    <w:rsid w:val="0DCE2DD6"/>
    <w:rsid w:val="0E1F12B2"/>
    <w:rsid w:val="0E367A84"/>
    <w:rsid w:val="0E811E04"/>
    <w:rsid w:val="0EC324B8"/>
    <w:rsid w:val="0F056DF4"/>
    <w:rsid w:val="110765F0"/>
    <w:rsid w:val="11A46680"/>
    <w:rsid w:val="11BF3EC9"/>
    <w:rsid w:val="11BF435B"/>
    <w:rsid w:val="127F5035"/>
    <w:rsid w:val="13740382"/>
    <w:rsid w:val="13DD0697"/>
    <w:rsid w:val="154A73F4"/>
    <w:rsid w:val="15DF7C6E"/>
    <w:rsid w:val="15FA04B5"/>
    <w:rsid w:val="165A3666"/>
    <w:rsid w:val="17A95CA0"/>
    <w:rsid w:val="18106C0D"/>
    <w:rsid w:val="190154D6"/>
    <w:rsid w:val="19517616"/>
    <w:rsid w:val="19FA7950"/>
    <w:rsid w:val="1B6E4929"/>
    <w:rsid w:val="1BD74BF6"/>
    <w:rsid w:val="1CF50AD0"/>
    <w:rsid w:val="1CFF0508"/>
    <w:rsid w:val="1EB37DB8"/>
    <w:rsid w:val="1ED26DE5"/>
    <w:rsid w:val="1FC658C9"/>
    <w:rsid w:val="208A107A"/>
    <w:rsid w:val="20D90DB6"/>
    <w:rsid w:val="20EF0E4F"/>
    <w:rsid w:val="21026DD4"/>
    <w:rsid w:val="21521B0A"/>
    <w:rsid w:val="216D0C97"/>
    <w:rsid w:val="22330F8A"/>
    <w:rsid w:val="23056708"/>
    <w:rsid w:val="23533917"/>
    <w:rsid w:val="238B43B6"/>
    <w:rsid w:val="239D65F7"/>
    <w:rsid w:val="23F278F9"/>
    <w:rsid w:val="2480354C"/>
    <w:rsid w:val="24FD7FDE"/>
    <w:rsid w:val="2560231B"/>
    <w:rsid w:val="25E93882"/>
    <w:rsid w:val="25EE3C7D"/>
    <w:rsid w:val="266E549A"/>
    <w:rsid w:val="271156B4"/>
    <w:rsid w:val="27A5681B"/>
    <w:rsid w:val="27D01FC1"/>
    <w:rsid w:val="28844573"/>
    <w:rsid w:val="29F645D7"/>
    <w:rsid w:val="2A4A7831"/>
    <w:rsid w:val="2A570191"/>
    <w:rsid w:val="2AAD3A85"/>
    <w:rsid w:val="2AB42520"/>
    <w:rsid w:val="2AEF37E4"/>
    <w:rsid w:val="2B4E6D6B"/>
    <w:rsid w:val="2B797C93"/>
    <w:rsid w:val="2BBB474F"/>
    <w:rsid w:val="2DC74427"/>
    <w:rsid w:val="2DFE0184"/>
    <w:rsid w:val="2E3F45EA"/>
    <w:rsid w:val="30524B50"/>
    <w:rsid w:val="30B05DF3"/>
    <w:rsid w:val="31D03335"/>
    <w:rsid w:val="32904380"/>
    <w:rsid w:val="32C82924"/>
    <w:rsid w:val="338611ED"/>
    <w:rsid w:val="33CE11E3"/>
    <w:rsid w:val="34620BF5"/>
    <w:rsid w:val="3536335A"/>
    <w:rsid w:val="35BE4538"/>
    <w:rsid w:val="36FE6530"/>
    <w:rsid w:val="376B0134"/>
    <w:rsid w:val="37FC2752"/>
    <w:rsid w:val="380B25BB"/>
    <w:rsid w:val="38666929"/>
    <w:rsid w:val="39440C04"/>
    <w:rsid w:val="39D52BB0"/>
    <w:rsid w:val="3A6A64A9"/>
    <w:rsid w:val="3A9B7E58"/>
    <w:rsid w:val="3AB24F6F"/>
    <w:rsid w:val="3AE55345"/>
    <w:rsid w:val="3AFF327C"/>
    <w:rsid w:val="3B191766"/>
    <w:rsid w:val="3CD83D46"/>
    <w:rsid w:val="3D015D3A"/>
    <w:rsid w:val="3DC70D32"/>
    <w:rsid w:val="3E557A55"/>
    <w:rsid w:val="3F397DD7"/>
    <w:rsid w:val="3F7F6D57"/>
    <w:rsid w:val="40556AC9"/>
    <w:rsid w:val="43505BFE"/>
    <w:rsid w:val="436513E9"/>
    <w:rsid w:val="4556030B"/>
    <w:rsid w:val="459833DA"/>
    <w:rsid w:val="46467FBF"/>
    <w:rsid w:val="46B70A7C"/>
    <w:rsid w:val="46F86E5F"/>
    <w:rsid w:val="479C322F"/>
    <w:rsid w:val="47F92CE6"/>
    <w:rsid w:val="48177DA3"/>
    <w:rsid w:val="486F19CC"/>
    <w:rsid w:val="488E0AD9"/>
    <w:rsid w:val="48E0468F"/>
    <w:rsid w:val="4A4E10EE"/>
    <w:rsid w:val="4B005FA2"/>
    <w:rsid w:val="4B863275"/>
    <w:rsid w:val="4E9A4C44"/>
    <w:rsid w:val="4F0B1050"/>
    <w:rsid w:val="4FFE0236"/>
    <w:rsid w:val="502E4997"/>
    <w:rsid w:val="52E2601C"/>
    <w:rsid w:val="5329428A"/>
    <w:rsid w:val="534C56B2"/>
    <w:rsid w:val="541779B7"/>
    <w:rsid w:val="54A51975"/>
    <w:rsid w:val="54CD4F10"/>
    <w:rsid w:val="54F05B80"/>
    <w:rsid w:val="5558352D"/>
    <w:rsid w:val="565C766C"/>
    <w:rsid w:val="567C1E40"/>
    <w:rsid w:val="570A09FF"/>
    <w:rsid w:val="57FE314A"/>
    <w:rsid w:val="5905081B"/>
    <w:rsid w:val="598B7847"/>
    <w:rsid w:val="59EE2F1B"/>
    <w:rsid w:val="5A0878FB"/>
    <w:rsid w:val="5AA97B17"/>
    <w:rsid w:val="5AD92356"/>
    <w:rsid w:val="5B311A10"/>
    <w:rsid w:val="5C7E48BA"/>
    <w:rsid w:val="5CE0011E"/>
    <w:rsid w:val="5D001AFF"/>
    <w:rsid w:val="5D4B4D00"/>
    <w:rsid w:val="5D786911"/>
    <w:rsid w:val="5DF23751"/>
    <w:rsid w:val="5E157BF4"/>
    <w:rsid w:val="5E2449DA"/>
    <w:rsid w:val="5EDD61AF"/>
    <w:rsid w:val="5EEB7865"/>
    <w:rsid w:val="5F56708C"/>
    <w:rsid w:val="60640ED3"/>
    <w:rsid w:val="60654530"/>
    <w:rsid w:val="60B00E2F"/>
    <w:rsid w:val="614B5652"/>
    <w:rsid w:val="62292C8A"/>
    <w:rsid w:val="639F57E1"/>
    <w:rsid w:val="63E1523C"/>
    <w:rsid w:val="647F4CAC"/>
    <w:rsid w:val="64D8291C"/>
    <w:rsid w:val="66240220"/>
    <w:rsid w:val="66DA76CA"/>
    <w:rsid w:val="672A3F5C"/>
    <w:rsid w:val="67386A18"/>
    <w:rsid w:val="674344A0"/>
    <w:rsid w:val="67C35F6E"/>
    <w:rsid w:val="68B711D9"/>
    <w:rsid w:val="68FB4006"/>
    <w:rsid w:val="69A3007B"/>
    <w:rsid w:val="6A305DA7"/>
    <w:rsid w:val="6AB240BD"/>
    <w:rsid w:val="6C5F4979"/>
    <w:rsid w:val="6CE261B7"/>
    <w:rsid w:val="702E2F9A"/>
    <w:rsid w:val="70765B1C"/>
    <w:rsid w:val="70EE0C27"/>
    <w:rsid w:val="72E651DB"/>
    <w:rsid w:val="743B1D01"/>
    <w:rsid w:val="74D9062F"/>
    <w:rsid w:val="76486289"/>
    <w:rsid w:val="7652268D"/>
    <w:rsid w:val="768E239C"/>
    <w:rsid w:val="78D91E2E"/>
    <w:rsid w:val="792855D4"/>
    <w:rsid w:val="794F1893"/>
    <w:rsid w:val="79D01140"/>
    <w:rsid w:val="7A905722"/>
    <w:rsid w:val="7B24593F"/>
    <w:rsid w:val="7B803453"/>
    <w:rsid w:val="7C052A66"/>
    <w:rsid w:val="7C161CBC"/>
    <w:rsid w:val="7D1A6820"/>
    <w:rsid w:val="7D1E2312"/>
    <w:rsid w:val="7DC1685E"/>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autoRedefine/>
    <w:qFormat/>
    <w:uiPriority w:val="0"/>
    <w:pPr>
      <w:keepNext/>
      <w:keepLines/>
      <w:pageBreakBefore/>
      <w:adjustRightInd w:val="0"/>
      <w:snapToGrid w:val="0"/>
      <w:spacing w:before="391" w:beforeLines="100" w:after="312" w:afterLines="80" w:line="288" w:lineRule="auto"/>
      <w:jc w:val="center"/>
      <w:outlineLvl w:val="0"/>
    </w:pPr>
    <w:rPr>
      <w:rFonts w:eastAsia="黑体"/>
      <w:spacing w:val="-4"/>
      <w:kern w:val="44"/>
      <w:sz w:val="36"/>
      <w:szCs w:val="36"/>
    </w:rPr>
  </w:style>
  <w:style w:type="paragraph" w:styleId="3">
    <w:name w:val="heading 2"/>
    <w:basedOn w:val="1"/>
    <w:next w:val="1"/>
    <w:link w:val="13"/>
    <w:autoRedefine/>
    <w:qFormat/>
    <w:uiPriority w:val="0"/>
    <w:pPr>
      <w:keepNext/>
      <w:keepLines/>
      <w:adjustRightInd w:val="0"/>
      <w:snapToGrid w:val="0"/>
      <w:spacing w:before="156" w:beforeLines="50" w:after="156" w:afterLines="50" w:line="288" w:lineRule="auto"/>
      <w:outlineLvl w:val="1"/>
    </w:pPr>
    <w:rPr>
      <w:rFonts w:eastAsia="黑体"/>
      <w:b/>
      <w:bCs/>
      <w:kern w:val="0"/>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qFormat/>
    <w:uiPriority w:val="99"/>
    <w:rPr>
      <w:color w:val="0000FF"/>
      <w:u w:val="single"/>
    </w:rPr>
  </w:style>
  <w:style w:type="character" w:styleId="8">
    <w:name w:val="Strong"/>
    <w:basedOn w:val="5"/>
    <w:qFormat/>
    <w:uiPriority w:val="22"/>
    <w:rPr>
      <w:b/>
      <w:bCs/>
    </w:rPr>
  </w:style>
  <w:style w:type="character" w:styleId="9">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5"/>
    <w:link w:val="2"/>
    <w:qFormat/>
    <w:uiPriority w:val="0"/>
    <w:rPr>
      <w:rFonts w:ascii="Times New Roman" w:hAnsi="Times New Roman" w:eastAsia="黑体" w:cs="Times New Roman"/>
      <w:spacing w:val="-4"/>
      <w:kern w:val="44"/>
      <w:sz w:val="36"/>
      <w:szCs w:val="36"/>
    </w:rPr>
  </w:style>
  <w:style w:type="character" w:customStyle="1" w:styleId="13">
    <w:name w:val="标题 2 字符"/>
    <w:basedOn w:val="5"/>
    <w:link w:val="3"/>
    <w:qFormat/>
    <w:uiPriority w:val="0"/>
    <w:rPr>
      <w:rFonts w:ascii="Times New Roman" w:hAnsi="Times New Roman" w:eastAsia="黑体" w:cs="Times New Roman"/>
      <w:b/>
      <w:bCs/>
      <w:kern w:val="0"/>
      <w:sz w:val="32"/>
      <w:szCs w:val="32"/>
    </w:rPr>
  </w:style>
  <w:style w:type="character" w:customStyle="1" w:styleId="14">
    <w:name w:val="未处理的提及1"/>
    <w:basedOn w:val="5"/>
    <w:semiHidden/>
    <w:unhideWhenUsed/>
    <w:qFormat/>
    <w:uiPriority w:val="99"/>
    <w:rPr>
      <w:color w:val="605E5C"/>
      <w:shd w:val="clear" w:color="auto" w:fill="E1DFDD"/>
    </w:rPr>
  </w:style>
  <w:style w:type="character" w:customStyle="1" w:styleId="15">
    <w:name w:val="field-content"/>
    <w:basedOn w:val="5"/>
    <w:qFormat/>
    <w:uiPriority w:val="0"/>
  </w:style>
  <w:style w:type="character" w:customStyle="1" w:styleId="16">
    <w:name w:val="fontstyle01"/>
    <w:basedOn w:val="5"/>
    <w:qFormat/>
    <w:uiPriority w:val="0"/>
    <w:rPr>
      <w:rFonts w:hint="default" w:ascii="TimesNewRomanPS-BoldMT" w:hAnsi="TimesNewRomanPS-BoldMT"/>
      <w:b/>
      <w:bCs/>
      <w:color w:val="000000"/>
      <w:sz w:val="40"/>
      <w:szCs w:val="40"/>
    </w:rPr>
  </w:style>
  <w:style w:type="character" w:customStyle="1" w:styleId="17">
    <w:name w:val="标题 3 字符"/>
    <w:basedOn w:val="5"/>
    <w:link w:val="4"/>
    <w:qFormat/>
    <w:uiPriority w:val="9"/>
    <w:rPr>
      <w:rFonts w:ascii="Times New Roman" w:hAnsi="Times New Roman" w:eastAsia="宋体" w:cs="Times New Roman"/>
      <w:b/>
      <w:bCs/>
      <w:sz w:val="32"/>
      <w:szCs w:val="3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2693</Words>
  <Characters>15354</Characters>
  <Lines>127</Lines>
  <Paragraphs>36</Paragraphs>
  <TotalTime>121</TotalTime>
  <ScaleCrop>false</ScaleCrop>
  <LinksUpToDate>false</LinksUpToDate>
  <CharactersWithSpaces>18011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2025-09-27T05:46:00Z</dcterms:created>
  <dc:creator>Cao Zhang</dc:creator>
  <cp:lastModifiedBy>JZ图形工作站0</cp:lastModifiedBy>
  <cp:lastPrinted>2025-10-14T17:00:00Z</cp:lastPrinted>
  <dcterms:modified xsi:type="dcterms:W3CDTF">2025-10-15T09:30:34Z</dcterms:modified>
  <cp:revision>386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eyJoZGlkIjoiNzJiYTc2MzE3MDhiMjM4MDIxNmRiOWU4MWI4NjkzYzUifQ==</vt:lpwstr>
  </property>
  <property fmtid="{D5CDD505-2E9C-101B-9397-08002B2CF9AE}" pid="3" name="KSOProductBuildVer">
    <vt:lpwstr>3076-12.2.0.22549</vt:lpwstr>
  </property>
  <property fmtid="{D5CDD505-2E9C-101B-9397-08002B2CF9AE}" pid="4" name="ICV">
    <vt:lpwstr>BD1DC92C46CD41108E16DB3D2CB2120C_12</vt:lpwstr>
  </property>
</Properties>
</file>