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8D48D0">
      <w:pPr>
        <w:pStyle w:val="2"/>
        <w:spacing w:before="312" w:after="249"/>
      </w:pPr>
      <w:r>
        <w:rPr>
          <w:rFonts w:hint="eastAsia"/>
        </w:rPr>
        <w:t>（软件）开放式架构阶段性学习报告</w:t>
      </w:r>
    </w:p>
    <w:p w14:paraId="7B2F22E9">
      <w:pPr>
        <w:pStyle w:val="3"/>
        <w:numPr>
          <w:ilvl w:val="0"/>
          <w:numId w:val="1"/>
        </w:numPr>
      </w:pPr>
      <w:r>
        <w:rPr>
          <w:rFonts w:hint="eastAsia"/>
        </w:rPr>
        <w:t>当前学习思路与进度</w:t>
      </w:r>
    </w:p>
    <w:p w14:paraId="5A5B2C32">
      <w:pPr>
        <w:pStyle w:val="3"/>
        <w:numPr>
          <w:ilvl w:val="0"/>
          <w:numId w:val="1"/>
        </w:numPr>
      </w:pPr>
      <w:r>
        <w:rPr>
          <w:rFonts w:hint="eastAsia"/>
        </w:rPr>
        <w:t>软件开放式架构的定义</w:t>
      </w:r>
    </w:p>
    <w:p w14:paraId="76BB5533">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0BC079F8">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7213DD0F">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29B6154D">
      <w:pPr>
        <w:pStyle w:val="4"/>
        <w:rPr>
          <w:rFonts w:hint="eastAsia"/>
        </w:rPr>
      </w:pPr>
      <w:r>
        <w:rPr>
          <w:rFonts w:hint="eastAsia"/>
        </w:rPr>
        <w:t>2.1相似定义：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4660B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D4A9459">
            <w:pPr>
              <w:jc w:val="center"/>
              <w:rPr>
                <w:sz w:val="21"/>
                <w:szCs w:val="21"/>
              </w:rPr>
            </w:pPr>
            <w:r>
              <w:rPr>
                <w:rFonts w:hint="eastAsia"/>
                <w:sz w:val="21"/>
                <w:szCs w:val="21"/>
              </w:rPr>
              <w:t>名称</w:t>
            </w:r>
          </w:p>
        </w:tc>
        <w:tc>
          <w:tcPr>
            <w:tcW w:w="5711" w:type="dxa"/>
            <w:vAlign w:val="center"/>
          </w:tcPr>
          <w:p w14:paraId="412A04A8">
            <w:pPr>
              <w:jc w:val="center"/>
              <w:rPr>
                <w:sz w:val="21"/>
                <w:szCs w:val="21"/>
              </w:rPr>
            </w:pPr>
            <w:r>
              <w:rPr>
                <w:rFonts w:hint="eastAsia"/>
                <w:sz w:val="21"/>
                <w:szCs w:val="21"/>
              </w:rPr>
              <w:t>定义</w:t>
            </w:r>
          </w:p>
        </w:tc>
        <w:tc>
          <w:tcPr>
            <w:tcW w:w="1502" w:type="dxa"/>
            <w:vAlign w:val="center"/>
          </w:tcPr>
          <w:p w14:paraId="04017135">
            <w:pPr>
              <w:jc w:val="center"/>
              <w:rPr>
                <w:sz w:val="21"/>
                <w:szCs w:val="21"/>
              </w:rPr>
            </w:pPr>
            <w:r>
              <w:rPr>
                <w:rFonts w:hint="eastAsia"/>
                <w:sz w:val="21"/>
                <w:szCs w:val="21"/>
              </w:rPr>
              <w:t>来源</w:t>
            </w:r>
          </w:p>
        </w:tc>
      </w:tr>
      <w:tr w14:paraId="738D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45C66C1">
            <w:pPr>
              <w:rPr>
                <w:sz w:val="21"/>
                <w:szCs w:val="21"/>
              </w:rPr>
            </w:pPr>
            <w:r>
              <w:rPr>
                <w:rFonts w:hint="eastAsia"/>
                <w:sz w:val="21"/>
                <w:szCs w:val="21"/>
              </w:rPr>
              <w:t>Open Architecture</w:t>
            </w:r>
          </w:p>
          <w:p w14:paraId="07DEB263">
            <w:pPr>
              <w:rPr>
                <w:sz w:val="21"/>
                <w:szCs w:val="21"/>
              </w:rPr>
            </w:pPr>
            <w:r>
              <w:rPr>
                <w:rFonts w:hint="eastAsia"/>
                <w:sz w:val="21"/>
                <w:szCs w:val="21"/>
              </w:rPr>
              <w:t>(开放架构)</w:t>
            </w:r>
          </w:p>
        </w:tc>
        <w:tc>
          <w:tcPr>
            <w:tcW w:w="5711" w:type="dxa"/>
            <w:vAlign w:val="center"/>
          </w:tcPr>
          <w:p w14:paraId="056E4341">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7216CC6F">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6FADA486">
            <w:pPr>
              <w:adjustRightInd w:val="0"/>
              <w:snapToGrid w:val="0"/>
              <w:spacing w:line="560" w:lineRule="exact"/>
              <w:rPr>
                <w:sz w:val="21"/>
                <w:szCs w:val="21"/>
              </w:rPr>
            </w:pPr>
            <w:r>
              <w:rPr>
                <w:rFonts w:hint="eastAsia"/>
                <w:sz w:val="21"/>
                <w:szCs w:val="21"/>
              </w:rPr>
              <w:t>DAU/glossary</w:t>
            </w:r>
          </w:p>
        </w:tc>
      </w:tr>
      <w:tr w14:paraId="03880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B3047E3">
            <w:pPr>
              <w:rPr>
                <w:sz w:val="21"/>
                <w:szCs w:val="21"/>
              </w:rPr>
            </w:pPr>
            <w:r>
              <w:rPr>
                <w:sz w:val="21"/>
                <w:szCs w:val="21"/>
              </w:rPr>
              <w:t>Open Standards</w:t>
            </w:r>
          </w:p>
          <w:p w14:paraId="264295D3">
            <w:pPr>
              <w:rPr>
                <w:sz w:val="21"/>
                <w:szCs w:val="21"/>
              </w:rPr>
            </w:pPr>
            <w:r>
              <w:rPr>
                <w:rFonts w:hint="eastAsia"/>
                <w:sz w:val="21"/>
                <w:szCs w:val="21"/>
              </w:rPr>
              <w:t>(开放标准)</w:t>
            </w:r>
          </w:p>
        </w:tc>
        <w:tc>
          <w:tcPr>
            <w:tcW w:w="5711" w:type="dxa"/>
            <w:vAlign w:val="center"/>
          </w:tcPr>
          <w:p w14:paraId="637A88A1">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6ED8858B">
            <w:pPr>
              <w:adjustRightInd w:val="0"/>
              <w:snapToGrid w:val="0"/>
              <w:spacing w:line="560" w:lineRule="exact"/>
              <w:rPr>
                <w:sz w:val="21"/>
                <w:szCs w:val="21"/>
              </w:rPr>
            </w:pPr>
            <w:r>
              <w:rPr>
                <w:rFonts w:hint="eastAsia"/>
                <w:sz w:val="21"/>
                <w:szCs w:val="21"/>
              </w:rPr>
              <w:t>DAU/glossary</w:t>
            </w:r>
          </w:p>
        </w:tc>
      </w:tr>
      <w:tr w14:paraId="24CFA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4442D71">
            <w:pPr>
              <w:rPr>
                <w:sz w:val="21"/>
                <w:szCs w:val="21"/>
              </w:rPr>
            </w:pPr>
            <w:r>
              <w:rPr>
                <w:rFonts w:hint="eastAsia"/>
                <w:sz w:val="21"/>
                <w:szCs w:val="21"/>
              </w:rPr>
              <w:t>Open System</w:t>
            </w:r>
          </w:p>
          <w:p w14:paraId="1690068B">
            <w:pPr>
              <w:rPr>
                <w:sz w:val="21"/>
                <w:szCs w:val="21"/>
              </w:rPr>
            </w:pPr>
            <w:r>
              <w:rPr>
                <w:rFonts w:hint="eastAsia"/>
                <w:sz w:val="21"/>
                <w:szCs w:val="21"/>
              </w:rPr>
              <w:t>(开放系统)</w:t>
            </w:r>
          </w:p>
        </w:tc>
        <w:tc>
          <w:tcPr>
            <w:tcW w:w="5711" w:type="dxa"/>
            <w:vAlign w:val="center"/>
          </w:tcPr>
          <w:p w14:paraId="2E57C8B5">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78BB82CB">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4C95AB0B">
            <w:pPr>
              <w:adjustRightInd w:val="0"/>
              <w:snapToGrid w:val="0"/>
              <w:spacing w:line="560" w:lineRule="exact"/>
              <w:rPr>
                <w:sz w:val="21"/>
                <w:szCs w:val="21"/>
              </w:rPr>
            </w:pPr>
            <w:r>
              <w:rPr>
                <w:rFonts w:hint="eastAsia"/>
                <w:sz w:val="21"/>
                <w:szCs w:val="21"/>
              </w:rPr>
              <w:t>DAU/glossary</w:t>
            </w:r>
          </w:p>
        </w:tc>
      </w:tr>
      <w:tr w14:paraId="126DF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CDC401A">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38940907">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222B1462">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69B9A7F9">
            <w:pPr>
              <w:adjustRightInd w:val="0"/>
              <w:snapToGrid w:val="0"/>
              <w:spacing w:line="560" w:lineRule="exact"/>
              <w:rPr>
                <w:sz w:val="21"/>
                <w:szCs w:val="21"/>
              </w:rPr>
            </w:pPr>
            <w:r>
              <w:rPr>
                <w:rFonts w:hint="eastAsia"/>
                <w:sz w:val="21"/>
                <w:szCs w:val="21"/>
              </w:rPr>
              <w:t>DAU/glossary</w:t>
            </w:r>
          </w:p>
        </w:tc>
      </w:tr>
      <w:tr w14:paraId="59119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02B7644">
            <w:pPr>
              <w:rPr>
                <w:rFonts w:hint="eastAsia"/>
                <w:sz w:val="21"/>
                <w:szCs w:val="21"/>
                <w:lang w:val="en-US" w:eastAsia="zh-CN"/>
              </w:rPr>
            </w:pPr>
            <w:r>
              <w:rPr>
                <w:rFonts w:hint="eastAsia"/>
                <w:sz w:val="21"/>
                <w:szCs w:val="21"/>
              </w:rPr>
              <w:t>O</w:t>
            </w:r>
            <w:r>
              <w:rPr>
                <w:rFonts w:hint="eastAsia"/>
                <w:sz w:val="21"/>
                <w:szCs w:val="21"/>
                <w:lang w:val="en-US" w:eastAsia="zh-CN"/>
              </w:rPr>
              <w:t xml:space="preserve">pen </w:t>
            </w:r>
            <w:r>
              <w:rPr>
                <w:rFonts w:hint="eastAsia"/>
                <w:sz w:val="21"/>
                <w:szCs w:val="21"/>
              </w:rPr>
              <w:t>S</w:t>
            </w:r>
            <w:r>
              <w:rPr>
                <w:rFonts w:hint="eastAsia"/>
                <w:sz w:val="21"/>
                <w:szCs w:val="21"/>
                <w:lang w:val="en-US" w:eastAsia="zh-CN"/>
              </w:rPr>
              <w:t xml:space="preserve">ystem </w:t>
            </w:r>
            <w:r>
              <w:rPr>
                <w:rFonts w:hint="eastAsia"/>
                <w:sz w:val="21"/>
                <w:szCs w:val="21"/>
              </w:rPr>
              <w:t>A</w:t>
            </w:r>
            <w:r>
              <w:rPr>
                <w:rFonts w:hint="eastAsia"/>
                <w:sz w:val="21"/>
                <w:szCs w:val="21"/>
                <w:lang w:val="en-US" w:eastAsia="zh-CN"/>
              </w:rPr>
              <w:t>rchitecture</w:t>
            </w:r>
          </w:p>
          <w:p w14:paraId="699EE76F">
            <w:pPr>
              <w:rPr>
                <w:rFonts w:hint="default"/>
                <w:sz w:val="21"/>
                <w:szCs w:val="21"/>
                <w:lang w:val="en-US" w:eastAsia="zh-CN"/>
              </w:rPr>
            </w:pPr>
            <w:r>
              <w:rPr>
                <w:rFonts w:hint="eastAsia"/>
                <w:sz w:val="21"/>
                <w:szCs w:val="21"/>
                <w:lang w:val="en-US" w:eastAsia="zh-CN"/>
              </w:rPr>
              <w:t>开放系统架构</w:t>
            </w:r>
          </w:p>
        </w:tc>
        <w:tc>
          <w:tcPr>
            <w:tcW w:w="5711" w:type="dxa"/>
            <w:vAlign w:val="center"/>
          </w:tcPr>
          <w:p w14:paraId="3E64E16D">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3F28DA74">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1D517566">
            <w:pPr>
              <w:adjustRightInd w:val="0"/>
              <w:snapToGrid w:val="0"/>
              <w:spacing w:line="560" w:lineRule="exact"/>
              <w:rPr>
                <w:rFonts w:hint="eastAsia" w:eastAsia="宋体"/>
                <w:sz w:val="21"/>
                <w:szCs w:val="21"/>
                <w:lang w:eastAsia="zh-CN"/>
              </w:rPr>
            </w:pPr>
            <w:r>
              <w:rPr>
                <w:rFonts w:hint="eastAsia"/>
                <w:sz w:val="21"/>
                <w:szCs w:val="21"/>
              </w:rPr>
              <w:t>MIL-STD-499B</w:t>
            </w:r>
          </w:p>
        </w:tc>
      </w:tr>
      <w:tr w14:paraId="1A1E8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3762920">
            <w:pPr>
              <w:rPr>
                <w:sz w:val="21"/>
                <w:szCs w:val="21"/>
              </w:rPr>
            </w:pPr>
            <w:r>
              <w:rPr>
                <w:sz w:val="21"/>
                <w:szCs w:val="21"/>
              </w:rPr>
              <w:t>Modular Open Systems Approach</w:t>
            </w:r>
            <w:r>
              <w:rPr>
                <w:rFonts w:hint="eastAsia"/>
                <w:sz w:val="21"/>
                <w:szCs w:val="21"/>
              </w:rPr>
              <w:t>(MOSA)</w:t>
            </w:r>
          </w:p>
          <w:p w14:paraId="37147D94">
            <w:pPr>
              <w:rPr>
                <w:sz w:val="21"/>
                <w:szCs w:val="21"/>
              </w:rPr>
            </w:pPr>
            <w:r>
              <w:rPr>
                <w:rFonts w:hint="eastAsia"/>
                <w:sz w:val="21"/>
                <w:szCs w:val="21"/>
              </w:rPr>
              <w:t>(模块化开放系统方法)</w:t>
            </w:r>
          </w:p>
        </w:tc>
        <w:tc>
          <w:tcPr>
            <w:tcW w:w="5711" w:type="dxa"/>
            <w:vAlign w:val="center"/>
          </w:tcPr>
          <w:p w14:paraId="28225F26">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49A8FA1D">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7290050C">
            <w:pPr>
              <w:adjustRightInd w:val="0"/>
              <w:snapToGrid w:val="0"/>
              <w:spacing w:line="560" w:lineRule="exact"/>
              <w:rPr>
                <w:sz w:val="21"/>
                <w:szCs w:val="21"/>
              </w:rPr>
            </w:pPr>
            <w:r>
              <w:rPr>
                <w:rFonts w:hint="eastAsia"/>
                <w:sz w:val="21"/>
                <w:szCs w:val="21"/>
              </w:rPr>
              <w:t>DAU/glossary</w:t>
            </w:r>
          </w:p>
        </w:tc>
      </w:tr>
      <w:tr w14:paraId="753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03C9558">
            <w:pPr>
              <w:rPr>
                <w:sz w:val="21"/>
                <w:szCs w:val="21"/>
              </w:rPr>
            </w:pPr>
            <w:r>
              <w:rPr>
                <w:rFonts w:hint="eastAsia"/>
                <w:sz w:val="21"/>
                <w:szCs w:val="21"/>
              </w:rPr>
              <w:t>MOSA</w:t>
            </w:r>
          </w:p>
        </w:tc>
        <w:tc>
          <w:tcPr>
            <w:tcW w:w="5711" w:type="dxa"/>
            <w:vAlign w:val="center"/>
          </w:tcPr>
          <w:p w14:paraId="4F3A032C">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7F987D48">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180B2C3E">
            <w:pPr>
              <w:adjustRightInd w:val="0"/>
              <w:snapToGrid w:val="0"/>
              <w:ind w:firstLine="420" w:firstLineChars="200"/>
              <w:rPr>
                <w:sz w:val="21"/>
                <w:szCs w:val="21"/>
              </w:rPr>
            </w:pPr>
            <w:r>
              <w:rPr>
                <w:sz w:val="21"/>
                <w:szCs w:val="21"/>
              </w:rPr>
              <w:t>(B)is subjected to verification to ensure that relevant modular system interfaces—</w:t>
            </w:r>
          </w:p>
          <w:p w14:paraId="7FAD0E60">
            <w:pPr>
              <w:adjustRightInd w:val="0"/>
              <w:snapToGrid w:val="0"/>
              <w:ind w:left="420" w:firstLine="420" w:firstLineChars="200"/>
              <w:rPr>
                <w:sz w:val="21"/>
                <w:szCs w:val="21"/>
              </w:rPr>
            </w:pPr>
            <w:r>
              <w:rPr>
                <w:sz w:val="21"/>
                <w:szCs w:val="21"/>
              </w:rPr>
              <w:t>(i)comply with, if available and suitable, widely supported and consensus-based standards; or</w:t>
            </w:r>
          </w:p>
          <w:p w14:paraId="2D0D807F">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7A075948">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06F9147F">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1C941100">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775CDDB3">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40B21EC7">
            <w:pPr>
              <w:adjustRightInd w:val="0"/>
              <w:snapToGrid w:val="0"/>
              <w:ind w:left="360" w:firstLine="420" w:firstLineChars="200"/>
              <w:rPr>
                <w:sz w:val="21"/>
                <w:szCs w:val="21"/>
              </w:rPr>
            </w:pPr>
            <w:r>
              <w:rPr>
                <w:sz w:val="21"/>
                <w:szCs w:val="21"/>
              </w:rPr>
              <w:t>(i)significant cost savings or avoidance;</w:t>
            </w:r>
          </w:p>
          <w:p w14:paraId="0C5390C9">
            <w:pPr>
              <w:adjustRightInd w:val="0"/>
              <w:snapToGrid w:val="0"/>
              <w:ind w:left="360" w:firstLine="420" w:firstLineChars="200"/>
              <w:rPr>
                <w:sz w:val="21"/>
                <w:szCs w:val="21"/>
              </w:rPr>
            </w:pPr>
            <w:r>
              <w:rPr>
                <w:sz w:val="21"/>
                <w:szCs w:val="21"/>
              </w:rPr>
              <w:t>(ii)schedule reduction;</w:t>
            </w:r>
          </w:p>
          <w:p w14:paraId="7CE63659">
            <w:pPr>
              <w:adjustRightInd w:val="0"/>
              <w:snapToGrid w:val="0"/>
              <w:ind w:left="360" w:firstLine="420" w:firstLineChars="200"/>
              <w:rPr>
                <w:sz w:val="21"/>
                <w:szCs w:val="21"/>
              </w:rPr>
            </w:pPr>
            <w:r>
              <w:rPr>
                <w:sz w:val="21"/>
                <w:szCs w:val="21"/>
              </w:rPr>
              <w:t>(iii)opportunities for technical upgrades;</w:t>
            </w:r>
          </w:p>
          <w:p w14:paraId="26BFF18A">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2CA202B1">
            <w:pPr>
              <w:adjustRightInd w:val="0"/>
              <w:snapToGrid w:val="0"/>
              <w:ind w:left="360" w:firstLine="420" w:firstLineChars="200"/>
              <w:rPr>
                <w:sz w:val="21"/>
                <w:szCs w:val="21"/>
              </w:rPr>
            </w:pPr>
            <w:r>
              <w:rPr>
                <w:sz w:val="21"/>
                <w:szCs w:val="21"/>
              </w:rPr>
              <w:t>(v)other benefits during the sustainment phase of a major weapon system; and</w:t>
            </w:r>
          </w:p>
          <w:p w14:paraId="5E4E05AF">
            <w:pPr>
              <w:adjustRightInd w:val="0"/>
              <w:snapToGrid w:val="0"/>
              <w:ind w:firstLine="420" w:firstLineChars="200"/>
              <w:rPr>
                <w:sz w:val="21"/>
                <w:szCs w:val="21"/>
              </w:rPr>
            </w:pPr>
            <w:r>
              <w:rPr>
                <w:sz w:val="21"/>
                <w:szCs w:val="21"/>
              </w:rPr>
              <w:t>(D)complies with the technical data rights set forth in sections 3771 through 3775 of this title.</w:t>
            </w:r>
          </w:p>
          <w:p w14:paraId="723CEC0E">
            <w:pPr>
              <w:rPr>
                <w:sz w:val="21"/>
                <w:szCs w:val="21"/>
              </w:rPr>
            </w:pPr>
            <w:r>
              <w:rPr>
                <w:rFonts w:hint="eastAsia"/>
                <w:sz w:val="21"/>
                <w:szCs w:val="21"/>
              </w:rPr>
              <w:t>翻译：</w:t>
            </w:r>
          </w:p>
          <w:p w14:paraId="2638BAFE">
            <w:pPr>
              <w:rPr>
                <w:sz w:val="21"/>
                <w:szCs w:val="21"/>
              </w:rPr>
            </w:pPr>
            <w:r>
              <w:rPr>
                <w:rFonts w:hint="eastAsia"/>
                <w:sz w:val="21"/>
                <w:szCs w:val="21"/>
              </w:rPr>
              <w:t>就重大国防采办项目而言，“模块化开放系统方法” 指一种整合性的业务与技术策略，该策略需满足以下要求：</w:t>
            </w:r>
          </w:p>
          <w:p w14:paraId="696A56F2">
            <w:pPr>
              <w:ind w:firstLine="420" w:firstLineChars="200"/>
              <w:rPr>
                <w:sz w:val="21"/>
                <w:szCs w:val="21"/>
              </w:rPr>
            </w:pPr>
            <w:r>
              <w:rPr>
                <w:rFonts w:hint="eastAsia"/>
                <w:sz w:val="21"/>
                <w:szCs w:val="21"/>
              </w:rPr>
              <w:t>（A）采用模块化设计，在主要系统、主要系统组件及模块化系统之间采用模块化系统接口；</w:t>
            </w:r>
          </w:p>
          <w:p w14:paraId="2F96765B">
            <w:pPr>
              <w:ind w:firstLine="420" w:firstLineChars="200"/>
              <w:rPr>
                <w:sz w:val="21"/>
                <w:szCs w:val="21"/>
              </w:rPr>
            </w:pPr>
            <w:r>
              <w:rPr>
                <w:rFonts w:hint="eastAsia"/>
                <w:sz w:val="21"/>
                <w:szCs w:val="21"/>
              </w:rPr>
              <w:t>（B）需通过验证，以确保相关模块化系统接口符合以下情形之一：</w:t>
            </w:r>
          </w:p>
          <w:p w14:paraId="3A473EE0">
            <w:pPr>
              <w:ind w:left="480" w:leftChars="200" w:firstLine="420" w:firstLineChars="200"/>
              <w:rPr>
                <w:sz w:val="21"/>
                <w:szCs w:val="21"/>
              </w:rPr>
            </w:pPr>
            <w:r>
              <w:rPr>
                <w:rFonts w:hint="eastAsia"/>
                <w:sz w:val="21"/>
                <w:szCs w:val="21"/>
              </w:rPr>
              <w:t>（i）若存在适用的、获得广泛支持且基于共识的标准，则接口需符合此类标准；</w:t>
            </w:r>
          </w:p>
          <w:p w14:paraId="5A43EB98">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7AB20659">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1AAA8643">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1AED6A9F">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212004A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645FE2B8">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4D899B70">
            <w:pPr>
              <w:ind w:left="960" w:leftChars="400"/>
              <w:rPr>
                <w:sz w:val="21"/>
                <w:szCs w:val="21"/>
              </w:rPr>
            </w:pPr>
            <w:r>
              <w:rPr>
                <w:rFonts w:hint="eastAsia"/>
                <w:sz w:val="21"/>
                <w:szCs w:val="21"/>
              </w:rPr>
              <w:t>（iii）创造技术升级机会；</w:t>
            </w:r>
          </w:p>
          <w:p w14:paraId="331CF56D">
            <w:pPr>
              <w:ind w:left="960" w:leftChars="400"/>
              <w:rPr>
                <w:sz w:val="21"/>
                <w:szCs w:val="21"/>
              </w:rPr>
            </w:pPr>
            <w:r>
              <w:rPr>
                <w:rFonts w:hint="eastAsia"/>
                <w:sz w:val="21"/>
                <w:szCs w:val="21"/>
              </w:rPr>
              <w:t>（iv）提升互操作性（包括系统之系统的互操作性及任务整合能力）；</w:t>
            </w:r>
          </w:p>
          <w:p w14:paraId="790012FD">
            <w:pPr>
              <w:ind w:left="480" w:leftChars="200" w:firstLine="420" w:firstLineChars="200"/>
              <w:rPr>
                <w:sz w:val="21"/>
                <w:szCs w:val="21"/>
              </w:rPr>
            </w:pPr>
            <w:r>
              <w:rPr>
                <w:rFonts w:hint="eastAsia"/>
                <w:sz w:val="21"/>
                <w:szCs w:val="21"/>
              </w:rPr>
              <w:t>（v）为重大武器系统保障阶段带来其他收益；</w:t>
            </w:r>
          </w:p>
          <w:p w14:paraId="12E55D30">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0434B5DC">
            <w:pPr>
              <w:adjustRightInd w:val="0"/>
              <w:snapToGrid w:val="0"/>
              <w:spacing w:line="560" w:lineRule="exact"/>
              <w:rPr>
                <w:sz w:val="21"/>
                <w:szCs w:val="21"/>
              </w:rPr>
            </w:pPr>
            <w:r>
              <w:rPr>
                <w:rFonts w:hint="eastAsia"/>
                <w:sz w:val="21"/>
                <w:szCs w:val="21"/>
              </w:rPr>
              <w:t>10USC§4401</w:t>
            </w:r>
          </w:p>
        </w:tc>
      </w:tr>
    </w:tbl>
    <w:p w14:paraId="7BAD274D">
      <w:pPr>
        <w:rPr>
          <w:rFonts w:hint="eastAsia" w:ascii="仿宋" w:hAnsi="仿宋" w:eastAsia="仿宋" w:cs="仿宋"/>
        </w:rPr>
      </w:pPr>
    </w:p>
    <w:p w14:paraId="079D07EE">
      <w:pPr>
        <w:rPr>
          <w:rFonts w:ascii="仿宋" w:hAnsi="仿宋" w:eastAsia="仿宋" w:cs="仿宋"/>
        </w:rPr>
      </w:pPr>
      <w:r>
        <w:rPr>
          <w:rFonts w:hint="eastAsia" w:ascii="仿宋" w:hAnsi="仿宋" w:eastAsia="仿宋" w:cs="仿宋"/>
        </w:rPr>
        <w:t>辅助理解的两个定义：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52CEE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3244701">
            <w:pPr>
              <w:jc w:val="center"/>
              <w:rPr>
                <w:sz w:val="21"/>
                <w:szCs w:val="21"/>
              </w:rPr>
            </w:pPr>
            <w:r>
              <w:rPr>
                <w:rFonts w:hint="eastAsia"/>
                <w:sz w:val="21"/>
                <w:szCs w:val="21"/>
              </w:rPr>
              <w:t>名称</w:t>
            </w:r>
          </w:p>
        </w:tc>
        <w:tc>
          <w:tcPr>
            <w:tcW w:w="5711" w:type="dxa"/>
            <w:vAlign w:val="center"/>
          </w:tcPr>
          <w:p w14:paraId="11C4C5A9">
            <w:pPr>
              <w:jc w:val="center"/>
              <w:rPr>
                <w:sz w:val="21"/>
                <w:szCs w:val="21"/>
              </w:rPr>
            </w:pPr>
            <w:r>
              <w:rPr>
                <w:rFonts w:hint="eastAsia"/>
                <w:sz w:val="21"/>
                <w:szCs w:val="21"/>
              </w:rPr>
              <w:t>定义</w:t>
            </w:r>
          </w:p>
        </w:tc>
        <w:tc>
          <w:tcPr>
            <w:tcW w:w="1502" w:type="dxa"/>
            <w:vAlign w:val="center"/>
          </w:tcPr>
          <w:p w14:paraId="44DFA522">
            <w:pPr>
              <w:jc w:val="center"/>
              <w:rPr>
                <w:sz w:val="21"/>
                <w:szCs w:val="21"/>
              </w:rPr>
            </w:pPr>
            <w:r>
              <w:rPr>
                <w:rFonts w:hint="eastAsia"/>
                <w:sz w:val="21"/>
                <w:szCs w:val="21"/>
              </w:rPr>
              <w:t>来源</w:t>
            </w:r>
          </w:p>
        </w:tc>
      </w:tr>
      <w:tr w14:paraId="1556E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28372CC">
            <w:pPr>
              <w:rPr>
                <w:sz w:val="21"/>
                <w:szCs w:val="21"/>
              </w:rPr>
            </w:pPr>
            <w:r>
              <w:rPr>
                <w:sz w:val="21"/>
                <w:szCs w:val="21"/>
              </w:rPr>
              <w:t>A</w:t>
            </w:r>
            <w:r>
              <w:rPr>
                <w:rFonts w:hint="eastAsia"/>
                <w:sz w:val="21"/>
                <w:szCs w:val="21"/>
              </w:rPr>
              <w:t>rchitecture(架构)</w:t>
            </w:r>
          </w:p>
          <w:p w14:paraId="1CDF2162">
            <w:pPr>
              <w:jc w:val="center"/>
              <w:rPr>
                <w:rFonts w:hint="eastAsia"/>
                <w:sz w:val="21"/>
                <w:szCs w:val="21"/>
              </w:rPr>
            </w:pPr>
          </w:p>
        </w:tc>
        <w:tc>
          <w:tcPr>
            <w:tcW w:w="5711" w:type="dxa"/>
            <w:vAlign w:val="center"/>
          </w:tcPr>
          <w:p w14:paraId="47D7E0BD">
            <w:pPr>
              <w:rPr>
                <w:sz w:val="21"/>
                <w:szCs w:val="21"/>
              </w:rPr>
            </w:pPr>
            <w:r>
              <w:rPr>
                <w:sz w:val="21"/>
                <w:szCs w:val="21"/>
              </w:rPr>
              <w:t>The structure of components, their relationships, and the principles and guidelines governing their design and evolution over time.</w:t>
            </w:r>
          </w:p>
          <w:p w14:paraId="37107F9F">
            <w:pPr>
              <w:rPr>
                <w:rFonts w:hint="eastAsia"/>
                <w:sz w:val="21"/>
                <w:szCs w:val="21"/>
              </w:rPr>
            </w:pPr>
            <w:r>
              <w:rPr>
                <w:rFonts w:hint="eastAsia"/>
                <w:sz w:val="21"/>
                <w:szCs w:val="21"/>
              </w:rPr>
              <w:t>翻译：组件的结构、它们之间的关系，以及管理其设计和随时间演化的原则和指南。</w:t>
            </w:r>
          </w:p>
        </w:tc>
        <w:tc>
          <w:tcPr>
            <w:tcW w:w="1502" w:type="dxa"/>
            <w:vAlign w:val="center"/>
          </w:tcPr>
          <w:p w14:paraId="0EFCDA7F">
            <w:pPr>
              <w:rPr>
                <w:rFonts w:hint="eastAsia"/>
                <w:sz w:val="21"/>
                <w:szCs w:val="21"/>
              </w:rPr>
            </w:pPr>
            <w:r>
              <w:rPr>
                <w:rFonts w:hint="eastAsia"/>
                <w:sz w:val="21"/>
                <w:szCs w:val="21"/>
              </w:rPr>
              <w:t>DAU/glossary</w:t>
            </w:r>
          </w:p>
        </w:tc>
      </w:tr>
      <w:tr w14:paraId="69C8B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72C05E8B">
            <w:pPr>
              <w:rPr>
                <w:sz w:val="21"/>
                <w:szCs w:val="21"/>
              </w:rPr>
            </w:pPr>
            <w:r>
              <w:rPr>
                <w:sz w:val="21"/>
                <w:szCs w:val="21"/>
              </w:rPr>
              <w:t>Technical Architecture</w:t>
            </w:r>
            <w:r>
              <w:rPr>
                <w:rFonts w:hint="eastAsia"/>
                <w:sz w:val="21"/>
                <w:szCs w:val="21"/>
              </w:rPr>
              <w:t>（TA）</w:t>
            </w:r>
          </w:p>
          <w:p w14:paraId="1E00AB4D">
            <w:pPr>
              <w:jc w:val="center"/>
              <w:rPr>
                <w:rFonts w:hint="eastAsia"/>
                <w:sz w:val="21"/>
                <w:szCs w:val="21"/>
              </w:rPr>
            </w:pPr>
            <w:r>
              <w:rPr>
                <w:rFonts w:hint="eastAsia"/>
                <w:sz w:val="21"/>
                <w:szCs w:val="21"/>
              </w:rPr>
              <w:t>(技术架构</w:t>
            </w:r>
            <w:r>
              <w:rPr>
                <w:sz w:val="21"/>
                <w:szCs w:val="21"/>
              </w:rPr>
              <w:t>)</w:t>
            </w:r>
          </w:p>
        </w:tc>
        <w:tc>
          <w:tcPr>
            <w:tcW w:w="5711" w:type="dxa"/>
            <w:vAlign w:val="center"/>
          </w:tcPr>
          <w:p w14:paraId="38FB1D93">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AB87B8C">
            <w:pPr>
              <w:rPr>
                <w:rFonts w:hint="eastAsia"/>
                <w:sz w:val="21"/>
                <w:szCs w:val="21"/>
              </w:rPr>
            </w:pPr>
            <w:r>
              <w:rPr>
                <w:rFonts w:hint="eastAsia"/>
                <w:sz w:val="21"/>
                <w:szCs w:val="21"/>
              </w:rPr>
              <w:t>翻译：指管理各部件或元素之排列、交互与依存关系的最低限规则集合，其目的在于确保合规系统满足特定需求集。技术架构明确了</w:t>
            </w:r>
            <w:r>
              <w:rPr>
                <w:rFonts w:hint="eastAsia"/>
                <w:sz w:val="21"/>
                <w:szCs w:val="21"/>
                <w:lang w:val="en-US" w:eastAsia="zh-CN"/>
              </w:rPr>
              <w:t>服务</w:t>
            </w:r>
            <w:r>
              <w:rPr>
                <w:rFonts w:hint="eastAsia"/>
                <w:sz w:val="21"/>
                <w:szCs w:val="21"/>
              </w:rPr>
              <w:t>、接口、</w:t>
            </w:r>
            <w:r>
              <w:rPr>
                <w:rFonts w:hint="eastAsia"/>
                <w:sz w:val="21"/>
                <w:szCs w:val="21"/>
                <w:lang w:val="en-US" w:eastAsia="zh-CN"/>
              </w:rPr>
              <w:t>标准</w:t>
            </w:r>
            <w:r>
              <w:rPr>
                <w:rFonts w:hint="eastAsia"/>
                <w:sz w:val="21"/>
                <w:szCs w:val="21"/>
              </w:rPr>
              <w:t>及其相互关系，为系统</w:t>
            </w:r>
            <w:r>
              <w:rPr>
                <w:rFonts w:hint="eastAsia"/>
                <w:sz w:val="21"/>
                <w:szCs w:val="21"/>
                <w:lang w:val="en-US" w:eastAsia="zh-CN"/>
              </w:rPr>
              <w:t>实现</w:t>
            </w:r>
            <w:r>
              <w:rPr>
                <w:rFonts w:hint="eastAsia"/>
                <w:sz w:val="21"/>
                <w:szCs w:val="21"/>
              </w:rPr>
              <w:t>提供技术准则——工程规范基于此制定，通用构建块依此搭建，产品线由此延伸发展。</w:t>
            </w:r>
          </w:p>
        </w:tc>
        <w:tc>
          <w:tcPr>
            <w:tcW w:w="1502" w:type="dxa"/>
            <w:vAlign w:val="center"/>
          </w:tcPr>
          <w:p w14:paraId="326863C8">
            <w:pPr>
              <w:rPr>
                <w:rFonts w:hint="eastAsia"/>
                <w:sz w:val="21"/>
                <w:szCs w:val="21"/>
              </w:rPr>
            </w:pPr>
            <w:r>
              <w:rPr>
                <w:sz w:val="21"/>
                <w:szCs w:val="21"/>
              </w:rPr>
              <w:t>Department of Defense Joint Technical Architecture (JTA) Version 2.0</w:t>
            </w:r>
          </w:p>
        </w:tc>
      </w:tr>
    </w:tbl>
    <w:p w14:paraId="7A51BC21">
      <w:pPr>
        <w:rPr>
          <w:rFonts w:hint="eastAsia" w:ascii="仿宋" w:hAnsi="仿宋" w:eastAsia="仿宋" w:cs="仿宋"/>
        </w:rPr>
      </w:pPr>
    </w:p>
    <w:p w14:paraId="0454B404">
      <w:pPr>
        <w:pStyle w:val="4"/>
      </w:pPr>
      <w:r>
        <w:rPr>
          <w:rFonts w:hint="eastAsia"/>
        </w:rPr>
        <w:t>2.2定义总结：</w:t>
      </w:r>
    </w:p>
    <w:p w14:paraId="408AA6BD">
      <w:pPr>
        <w:spacing w:line="300" w:lineRule="auto"/>
        <w:ind w:firstLine="482" w:firstLineChars="200"/>
        <w:rPr>
          <w:rFonts w:ascii="仿宋" w:hAnsi="仿宋" w:eastAsia="仿宋" w:cs="仿宋"/>
        </w:rPr>
      </w:pPr>
      <w:r>
        <w:rPr>
          <w:rFonts w:hint="eastAsia" w:ascii="仿宋" w:hAnsi="仿宋" w:eastAsia="仿宋" w:cs="仿宋"/>
          <w:b/>
          <w:bCs/>
        </w:rPr>
        <w:t>首先明确相似概念</w:t>
      </w: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222B7DB9">
      <w:pPr>
        <w:spacing w:line="300" w:lineRule="auto"/>
        <w:jc w:val="center"/>
        <w:rPr>
          <w:rFonts w:ascii="仿宋" w:hAnsi="仿宋" w:eastAsia="仿宋" w:cs="仿宋"/>
        </w:rPr>
      </w:pPr>
      <w:r>
        <w:rPr>
          <w:rFonts w:ascii="仿宋" w:hAnsi="仿宋" w:eastAsia="仿宋" w:cs="仿宋"/>
        </w:rPr>
        <w:drawing>
          <wp:inline distT="0" distB="0" distL="0" distR="0">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2EBC04AC">
      <w:pPr>
        <w:spacing w:line="300" w:lineRule="auto"/>
        <w:ind w:firstLine="480" w:firstLineChars="200"/>
        <w:rPr>
          <w:rFonts w:ascii="仿宋" w:hAnsi="仿宋" w:eastAsia="仿宋" w:cs="仿宋"/>
        </w:rPr>
      </w:pPr>
      <w:r>
        <w:rPr>
          <w:rFonts w:hint="eastAsia" w:ascii="仿宋" w:hAnsi="仿宋" w:eastAsia="仿宋" w:cs="仿宋"/>
        </w:rPr>
        <w:t>相似概念开放系统、开放架构、开放系统架构、模块化开放系统方法，最终指向了对技术架构的要求。例如开放架构（Open</w:t>
      </w:r>
      <w:r>
        <w:rPr>
          <w:rFonts w:ascii="仿宋" w:hAnsi="仿宋" w:eastAsia="仿宋" w:cs="仿宋"/>
        </w:rPr>
        <w:t xml:space="preserve"> </w:t>
      </w:r>
      <w:r>
        <w:rPr>
          <w:rFonts w:hint="eastAsia" w:ascii="仿宋" w:hAnsi="仿宋" w:eastAsia="仿宋" w:cs="仿宋"/>
        </w:rPr>
        <w:t>Architecture）是一种技术架构；开放系统（Open</w:t>
      </w:r>
      <w:r>
        <w:rPr>
          <w:rFonts w:ascii="仿宋" w:hAnsi="仿宋" w:eastAsia="仿宋" w:cs="仿宋"/>
        </w:rPr>
        <w:t xml:space="preserve"> </w:t>
      </w:r>
      <w:r>
        <w:rPr>
          <w:rFonts w:hint="eastAsia" w:ascii="仿宋" w:hAnsi="仿宋" w:eastAsia="仿宋" w:cs="仿宋"/>
        </w:rPr>
        <w:t>System）是</w:t>
      </w:r>
      <w:r>
        <w:rPr>
          <w:rFonts w:hint="eastAsia" w:ascii="仿宋" w:hAnsi="仿宋" w:eastAsia="仿宋" w:cs="仿宋"/>
          <w:lang w:val="en-US" w:eastAsia="zh-CN"/>
        </w:rPr>
        <w:t>其</w:t>
      </w:r>
      <w:r>
        <w:rPr>
          <w:rFonts w:hint="eastAsia" w:ascii="仿宋" w:hAnsi="仿宋" w:eastAsia="仿宋" w:cs="仿宋"/>
        </w:rPr>
        <w:t>技术架构</w:t>
      </w:r>
      <w:r>
        <w:rPr>
          <w:rFonts w:hint="eastAsia" w:ascii="仿宋" w:hAnsi="仿宋" w:eastAsia="仿宋" w:cs="仿宋"/>
          <w:lang w:val="en-US" w:eastAsia="zh-CN"/>
        </w:rPr>
        <w:t>具备某些</w:t>
      </w:r>
      <w:r>
        <w:rPr>
          <w:rFonts w:hint="eastAsia" w:ascii="仿宋" w:hAnsi="仿宋" w:eastAsia="仿宋" w:cs="仿宋"/>
        </w:rPr>
        <w:t>特点的系统；开放系统架构（Open</w:t>
      </w:r>
      <w:r>
        <w:rPr>
          <w:rFonts w:ascii="仿宋" w:hAnsi="仿宋" w:eastAsia="仿宋" w:cs="仿宋"/>
        </w:rPr>
        <w:t xml:space="preserve"> </w:t>
      </w:r>
      <w:r>
        <w:rPr>
          <w:rFonts w:hint="eastAsia" w:ascii="仿宋" w:hAnsi="仿宋" w:eastAsia="仿宋" w:cs="仿宋"/>
        </w:rPr>
        <w:t>Systems</w:t>
      </w:r>
      <w:r>
        <w:rPr>
          <w:rFonts w:ascii="仿宋" w:hAnsi="仿宋" w:eastAsia="仿宋" w:cs="仿宋"/>
        </w:rPr>
        <w:t xml:space="preserve"> </w:t>
      </w:r>
      <w:r>
        <w:rPr>
          <w:rFonts w:hint="eastAsia" w:ascii="仿宋" w:hAnsi="仿宋" w:eastAsia="仿宋" w:cs="仿宋"/>
        </w:rPr>
        <w:t>Architecture）是开放系统的一个特征。</w:t>
      </w:r>
      <w:r>
        <w:rPr>
          <w:rFonts w:hint="eastAsia" w:ascii="仿宋" w:hAnsi="仿宋" w:eastAsia="仿宋" w:cs="仿宋"/>
          <w:lang w:val="en-US" w:eastAsia="zh-CN"/>
        </w:rPr>
        <w:t>技术架构的定义在上一小结的表格中已列出，在此不再赘述。上述概念对技术架构提出的要求非常相似，包括以下两点：</w:t>
      </w:r>
    </w:p>
    <w:p w14:paraId="7E0C18D1">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采用或符合具备某些特征的标准（standards）；</w:t>
      </w:r>
    </w:p>
    <w:p w14:paraId="3120FE11">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支持具备某些特征的系统结构（system structure）。</w:t>
      </w:r>
    </w:p>
    <w:p w14:paraId="59BF9AA1">
      <w:pPr>
        <w:spacing w:line="300" w:lineRule="auto"/>
        <w:ind w:firstLine="480" w:firstLineChars="200"/>
        <w:rPr>
          <w:rFonts w:ascii="仿宋" w:hAnsi="仿宋" w:eastAsia="仿宋" w:cs="仿宋"/>
        </w:rPr>
      </w:pPr>
      <w:r>
        <w:rPr>
          <w:rFonts w:hint="eastAsia" w:ascii="仿宋" w:hAnsi="仿宋" w:eastAsia="仿宋" w:cs="仿宋"/>
        </w:rPr>
        <w:t>标准具备以下部分或全部特征：基于共识、广泛接受和支持、由市场或标准组织制定、公认的、支持互操作性、支持可移植性、支持可扩展性、免费或适度许可费。</w:t>
      </w:r>
    </w:p>
    <w:p w14:paraId="269C0521">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7EB5261C">
      <w:pPr>
        <w:spacing w:line="300" w:lineRule="auto"/>
        <w:ind w:firstLine="482" w:firstLineChars="200"/>
        <w:rPr>
          <w:rFonts w:hint="default" w:ascii="仿宋" w:hAnsi="仿宋" w:eastAsia="仿宋" w:cs="仿宋"/>
          <w:lang w:val="en-US" w:eastAsia="zh-CN"/>
        </w:rPr>
      </w:pPr>
      <w:r>
        <w:rPr>
          <w:rFonts w:hint="eastAsia" w:ascii="仿宋" w:hAnsi="仿宋" w:eastAsia="仿宋" w:cs="仿宋"/>
          <w:b/>
          <w:bCs/>
        </w:rPr>
        <w:t>然后尝试理解软件开放式架构的概念</w:t>
      </w:r>
      <w:r>
        <w:rPr>
          <w:rFonts w:hint="eastAsia" w:ascii="仿宋" w:hAnsi="仿宋" w:eastAsia="仿宋" w:cs="仿宋"/>
        </w:rPr>
        <w:t>。最为相似的</w:t>
      </w:r>
      <w:r>
        <w:rPr>
          <w:rFonts w:hint="eastAsia" w:ascii="仿宋" w:hAnsi="仿宋" w:eastAsia="仿宋" w:cs="仿宋"/>
          <w:lang w:val="en-US" w:eastAsia="zh-CN"/>
        </w:rPr>
        <w:t>概念是</w:t>
      </w:r>
      <w:r>
        <w:rPr>
          <w:rFonts w:hint="eastAsia" w:ascii="仿宋" w:hAnsi="仿宋" w:eastAsia="仿宋" w:cs="仿宋"/>
        </w:rPr>
        <w:t>开放架构（Open</w:t>
      </w:r>
      <w:r>
        <w:rPr>
          <w:rFonts w:ascii="仿宋" w:hAnsi="仿宋" w:eastAsia="仿宋" w:cs="仿宋"/>
        </w:rPr>
        <w:t xml:space="preserve"> </w:t>
      </w:r>
      <w:r>
        <w:rPr>
          <w:rFonts w:hint="eastAsia" w:ascii="仿宋" w:hAnsi="仿宋" w:eastAsia="仿宋" w:cs="仿宋"/>
        </w:rPr>
        <w:t>Architecture）和开放系统（Open</w:t>
      </w:r>
      <w:r>
        <w:rPr>
          <w:rFonts w:ascii="仿宋" w:hAnsi="仿宋" w:eastAsia="仿宋" w:cs="仿宋"/>
        </w:rPr>
        <w:t xml:space="preserve"> </w:t>
      </w:r>
      <w:r>
        <w:rPr>
          <w:rFonts w:hint="eastAsia" w:ascii="仿宋" w:hAnsi="仿宋" w:eastAsia="仿宋" w:cs="仿宋"/>
        </w:rPr>
        <w:t>System）</w:t>
      </w:r>
      <w:r>
        <w:rPr>
          <w:rFonts w:hint="eastAsia" w:ascii="仿宋" w:hAnsi="仿宋" w:eastAsia="仿宋" w:cs="仿宋"/>
          <w:lang w:eastAsia="zh-CN"/>
        </w:rPr>
        <w:t>。</w:t>
      </w:r>
      <w:r>
        <w:rPr>
          <w:rFonts w:hint="eastAsia" w:ascii="仿宋" w:hAnsi="仿宋" w:eastAsia="仿宋" w:cs="仿宋"/>
          <w:lang w:val="en-US" w:eastAsia="zh-CN"/>
        </w:rPr>
        <w:t>开放架构是一种技术架构，开放系统是技术架构是开放架构的系统。与之对应，软件开放式架构是一种关注软件领域的技术架构，开放软件（系统）是技术架构是软件开放式架构的软件系统。</w:t>
      </w:r>
    </w:p>
    <w:p w14:paraId="4CE811E3">
      <w:pPr>
        <w:spacing w:line="300" w:lineRule="auto"/>
        <w:ind w:firstLine="480" w:firstLineChars="200"/>
        <w:rPr>
          <w:rFonts w:hint="eastAsia" w:ascii="仿宋" w:hAnsi="仿宋" w:eastAsia="仿宋" w:cs="仿宋"/>
        </w:rPr>
      </w:pPr>
      <w:r>
        <w:rPr>
          <w:rFonts w:hint="eastAsia" w:ascii="仿宋" w:hAnsi="仿宋" w:eastAsia="仿宋" w:cs="仿宋"/>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35901AF2">
      <w:pPr>
        <w:spacing w:line="300" w:lineRule="auto"/>
        <w:ind w:firstLine="482" w:firstLineChars="200"/>
        <w:rPr>
          <w:rFonts w:hint="default" w:ascii="仿宋" w:hAnsi="仿宋" w:eastAsia="仿宋" w:cs="仿宋"/>
          <w:b w:val="0"/>
          <w:bCs w:val="0"/>
          <w:lang w:val="en-US" w:eastAsia="zh-CN"/>
        </w:rPr>
      </w:pPr>
      <w:r>
        <w:rPr>
          <w:rFonts w:hint="eastAsia" w:ascii="仿宋" w:hAnsi="仿宋" w:eastAsia="仿宋" w:cs="仿宋"/>
          <w:b/>
          <w:bCs/>
          <w:lang w:val="en-US" w:eastAsia="zh-CN"/>
        </w:rPr>
        <w:t>开放系统、开放架构、（模块化）开放系统方法的范围分析</w:t>
      </w:r>
      <w:r>
        <w:rPr>
          <w:rFonts w:hint="eastAsia" w:ascii="仿宋" w:hAnsi="仿宋" w:eastAsia="仿宋" w:cs="仿宋"/>
          <w:b w:val="0"/>
          <w:bCs w:val="0"/>
          <w:lang w:val="en-US" w:eastAsia="zh-CN"/>
        </w:rPr>
        <w:t>,（待办，可以画个图）。开放架构决定系统内组件之间的排列、交互与依存关系的准则（主要是在空间层面的，我认为要广义讨论也可扩展到生命周期中需要遵循的一些规则），其作用在系统内。而开放系统方法是一种采办策略，目的是确保武器装备作为开放系统来实现，其主要作用在系统外，包含一些采办流程、设计流程等考虑。</w:t>
      </w:r>
    </w:p>
    <w:p w14:paraId="58DB8102">
      <w:pPr>
        <w:spacing w:line="300" w:lineRule="auto"/>
        <w:ind w:firstLine="480" w:firstLineChars="200"/>
        <w:rPr>
          <w:rFonts w:hint="default" w:ascii="仿宋" w:hAnsi="仿宋" w:eastAsia="仿宋" w:cs="仿宋"/>
          <w:lang w:val="en-US" w:eastAsia="zh-CN"/>
        </w:rPr>
      </w:pPr>
    </w:p>
    <w:p w14:paraId="4F7208A3">
      <w:pPr>
        <w:pStyle w:val="4"/>
      </w:pPr>
      <w:r>
        <w:rPr>
          <w:rFonts w:hint="eastAsia"/>
        </w:rPr>
        <w:t>2.</w:t>
      </w:r>
      <w:r>
        <w:t>3</w:t>
      </w:r>
      <w:r>
        <w:rPr>
          <w:rFonts w:hint="eastAsia"/>
        </w:rPr>
        <w:t>待办：</w:t>
      </w:r>
    </w:p>
    <w:p w14:paraId="64C22C5B">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082C826B">
      <w:pPr>
        <w:spacing w:line="300" w:lineRule="auto"/>
        <w:ind w:firstLine="480" w:firstLineChars="200"/>
        <w:rPr>
          <w:rFonts w:ascii="仿宋" w:hAnsi="仿宋" w:eastAsia="仿宋" w:cs="仿宋"/>
        </w:rPr>
      </w:pPr>
      <w:r>
        <w:rPr>
          <w:rFonts w:hint="eastAsia" w:ascii="仿宋" w:hAnsi="仿宋" w:eastAsia="仿宋" w:cs="仿宋"/>
        </w:rPr>
        <w:t>还需从FACE中学习对软件开放架构的理解，回头再完善。</w:t>
      </w:r>
    </w:p>
    <w:p w14:paraId="2E93F0CE">
      <w:pPr>
        <w:pStyle w:val="3"/>
        <w:numPr>
          <w:ilvl w:val="0"/>
          <w:numId w:val="1"/>
        </w:numPr>
      </w:pPr>
      <w:r>
        <w:rPr>
          <w:rFonts w:hint="eastAsia"/>
        </w:rPr>
        <w:t>（软件）开放式架构的收益</w:t>
      </w:r>
    </w:p>
    <w:p w14:paraId="23244B52">
      <w:pPr>
        <w:spacing w:line="300" w:lineRule="auto"/>
        <w:ind w:firstLine="480" w:firstLineChars="200"/>
        <w:rPr>
          <w:rFonts w:hint="default" w:ascii="仿宋" w:hAnsi="仿宋" w:eastAsia="仿宋" w:cs="仿宋"/>
          <w:lang w:val="en-US" w:eastAsia="zh-CN"/>
        </w:rPr>
      </w:pPr>
      <w:r>
        <w:rPr>
          <w:rFonts w:hint="eastAsia" w:ascii="仿宋" w:hAnsi="仿宋" w:eastAsia="仿宋" w:cs="仿宋"/>
        </w:rPr>
        <w:t>在解决软件开放式架构是什么</w:t>
      </w:r>
      <w:r>
        <w:rPr>
          <w:rFonts w:hint="eastAsia" w:ascii="仿宋" w:hAnsi="仿宋" w:eastAsia="仿宋" w:cs="仿宋"/>
          <w:lang w:val="en-US" w:eastAsia="zh-CN"/>
        </w:rPr>
        <w:t>之</w:t>
      </w:r>
      <w:r>
        <w:rPr>
          <w:rFonts w:hint="eastAsia" w:ascii="仿宋" w:hAnsi="仿宋" w:eastAsia="仿宋" w:cs="仿宋"/>
        </w:rPr>
        <w:t>后，首要的问题是解决为什么要发展软件开放式架构</w:t>
      </w:r>
      <w:r>
        <w:rPr>
          <w:rFonts w:hint="eastAsia" w:ascii="仿宋" w:hAnsi="仿宋" w:eastAsia="仿宋" w:cs="仿宋"/>
          <w:lang w:eastAsia="zh-CN"/>
        </w:rPr>
        <w:t>，</w:t>
      </w:r>
      <w:r>
        <w:rPr>
          <w:rFonts w:hint="eastAsia" w:ascii="仿宋" w:hAnsi="仿宋" w:eastAsia="仿宋" w:cs="仿宋"/>
          <w:lang w:val="en-US" w:eastAsia="zh-CN"/>
        </w:rPr>
        <w:t>主要是软件开放式架构的收益。由于软件开放架构和开放架构的概念类似，优势相通，所以放在一起讨论，当前搜集的</w:t>
      </w:r>
      <w:r>
        <w:rPr>
          <w:rFonts w:hint="eastAsia" w:ascii="仿宋" w:hAnsi="仿宋" w:eastAsia="仿宋" w:cs="仿宋"/>
        </w:rPr>
        <w:t>优势如下图所示。</w:t>
      </w:r>
    </w:p>
    <w:p w14:paraId="44BCC68B">
      <w:pPr>
        <w:spacing w:line="300" w:lineRule="auto"/>
        <w:rPr>
          <w:rFonts w:hint="eastAsia" w:ascii="仿宋" w:hAnsi="仿宋" w:eastAsia="仿宋" w:cs="仿宋"/>
        </w:rPr>
      </w:pPr>
      <w:r>
        <w:rPr>
          <w:rFonts w:hint="eastAsia" w:ascii="仿宋" w:hAnsi="仿宋" w:eastAsia="仿宋" w:cs="仿宋"/>
        </w:rPr>
        <w:drawing>
          <wp:inline distT="0" distB="0" distL="0" distR="0">
            <wp:extent cx="5274310" cy="2096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4310" cy="2096135"/>
                    </a:xfrm>
                    <a:prstGeom prst="rect">
                      <a:avLst/>
                    </a:prstGeom>
                  </pic:spPr>
                </pic:pic>
              </a:graphicData>
            </a:graphic>
          </wp:inline>
        </w:drawing>
      </w:r>
    </w:p>
    <w:p w14:paraId="19B13D1E">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上图左侧为采用开放架构（开放系统方法）带来的收益，右侧为开放架构对系统带来的优势，可看作是对系统的收益。开放式架构或开放系统方法决定了开放系统的优势，开放系统的优势带来收益。收益的调研有多个来源，上图中灰色节点代表未重复的收益，白色为被重复提到的收益。</w:t>
      </w:r>
    </w:p>
    <w:p w14:paraId="18F26633">
      <w:pPr>
        <w:spacing w:line="300" w:lineRule="auto"/>
        <w:ind w:firstLine="480" w:firstLineChars="200"/>
        <w:rPr>
          <w:rFonts w:hint="eastAsia" w:ascii="仿宋" w:hAnsi="仿宋" w:eastAsia="仿宋" w:cs="仿宋"/>
        </w:rPr>
      </w:pPr>
    </w:p>
    <w:p w14:paraId="1462DAED">
      <w:pPr>
        <w:spacing w:line="300" w:lineRule="auto"/>
        <w:ind w:firstLine="480" w:firstLineChars="200"/>
        <w:rPr>
          <w:rFonts w:ascii="仿宋" w:hAnsi="仿宋" w:eastAsia="仿宋" w:cs="仿宋"/>
        </w:rPr>
      </w:pPr>
      <w:bookmarkStart w:id="0" w:name="_GoBack"/>
      <w:bookmarkEnd w:id="0"/>
      <w:r>
        <w:rPr>
          <w:rFonts w:hint="eastAsia" w:ascii="仿宋" w:hAnsi="仿宋" w:eastAsia="仿宋" w:cs="仿宋"/>
        </w:rPr>
        <w:t>还需从FACE中学习对软件开放架构的理解，回头再完善。</w:t>
      </w:r>
    </w:p>
    <w:p w14:paraId="2F757437">
      <w:pPr>
        <w:pStyle w:val="3"/>
        <w:numPr>
          <w:ilvl w:val="0"/>
          <w:numId w:val="1"/>
        </w:numPr>
      </w:pPr>
      <w:r>
        <w:rPr>
          <w:rFonts w:hint="eastAsia"/>
        </w:rPr>
        <w:t>美国发展现状</w:t>
      </w:r>
    </w:p>
    <w:p w14:paraId="47F82BB6">
      <w:pPr>
        <w:spacing w:line="300" w:lineRule="auto"/>
        <w:ind w:firstLine="480" w:firstLineChars="200"/>
        <w:rPr>
          <w:rFonts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16B1B4C5">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3A70A044">
      <w:pPr>
        <w:pStyle w:val="4"/>
      </w:pPr>
      <w:r>
        <w:rPr>
          <w:rFonts w:hint="eastAsia"/>
        </w:rPr>
        <w:t>4.</w:t>
      </w:r>
      <w:r>
        <w:t>1</w:t>
      </w:r>
      <w:r>
        <w:rPr>
          <w:rFonts w:hint="eastAsia"/>
        </w:rPr>
        <w:t>法律：</w:t>
      </w:r>
    </w:p>
    <w:p w14:paraId="0DC11B1C">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4439C2CF">
      <w:pPr>
        <w:spacing w:line="300" w:lineRule="auto"/>
        <w:rPr>
          <w:rFonts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296920"/>
                    </a:xfrm>
                    <a:prstGeom prst="rect">
                      <a:avLst/>
                    </a:prstGeom>
                  </pic:spPr>
                </pic:pic>
              </a:graphicData>
            </a:graphic>
          </wp:inline>
        </w:drawing>
      </w:r>
    </w:p>
    <w:p w14:paraId="76F35D88">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71581E8B">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5C98A950">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67A454C7">
      <w:pPr>
        <w:spacing w:line="300" w:lineRule="auto"/>
        <w:ind w:firstLine="480" w:firstLineChars="200"/>
        <w:rPr>
          <w:rFonts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265533A8">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2DAB73F2">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258BE26F">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027A75CC">
      <w:pPr>
        <w:spacing w:line="300" w:lineRule="auto"/>
        <w:ind w:firstLine="480" w:firstLineChars="200"/>
        <w:rPr>
          <w:rFonts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2F05D2CD">
      <w:pPr>
        <w:pStyle w:val="4"/>
      </w:pPr>
      <w:r>
        <w:rPr>
          <w:rFonts w:hint="eastAsia"/>
        </w:rPr>
        <w:t>4.</w:t>
      </w:r>
      <w:r>
        <w:t>2</w:t>
      </w:r>
      <w:r>
        <w:rPr>
          <w:rFonts w:hint="eastAsia"/>
        </w:rPr>
        <w:t>政府：</w:t>
      </w:r>
    </w:p>
    <w:p w14:paraId="0D74C517">
      <w:pPr>
        <w:spacing w:line="300" w:lineRule="auto"/>
        <w:ind w:firstLine="480" w:firstLineChars="200"/>
        <w:rPr>
          <w:rFonts w:ascii="仿宋" w:hAnsi="仿宋" w:eastAsia="仿宋" w:cs="仿宋"/>
        </w:rPr>
      </w:pPr>
      <w:r>
        <w:rPr>
          <w:rFonts w:hint="eastAsia" w:ascii="仿宋" w:hAnsi="仿宋" w:eastAsia="仿宋" w:cs="仿宋"/>
        </w:rPr>
        <w:t>开放式架构是美国政府（国防部）的一个重点关注领域，根据调研结果总结了美国防部机构与MOSA的关系如下图所示。</w:t>
      </w:r>
    </w:p>
    <w:p w14:paraId="53B9B9D4">
      <w:pPr>
        <w:spacing w:line="300" w:lineRule="auto"/>
        <w:jc w:val="center"/>
        <w:rPr>
          <w:rFonts w:ascii="仿宋" w:hAnsi="仿宋" w:eastAsia="仿宋" w:cs="仿宋"/>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367790"/>
                    </a:xfrm>
                    <a:prstGeom prst="rect">
                      <a:avLst/>
                    </a:prstGeom>
                  </pic:spPr>
                </pic:pic>
              </a:graphicData>
            </a:graphic>
          </wp:inline>
        </w:drawing>
      </w:r>
    </w:p>
    <w:p w14:paraId="171AD5E1">
      <w:pPr>
        <w:spacing w:line="300" w:lineRule="auto"/>
        <w:ind w:firstLine="480" w:firstLineChars="200"/>
      </w:pPr>
      <w:r>
        <w:rPr>
          <w:rFonts w:hint="eastAsia" w:ascii="仿宋" w:hAnsi="仿宋" w:eastAsia="仿宋" w:cs="仿宋"/>
        </w:rPr>
        <w:t>国防部对开放系统架构的领导力度有加强的趋势。调研资料显示1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世纪初MOSA的概念被提出，并被整合到了国防部系统工程指导方针中，2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年OSJTF工作组解散，之后MOSA在国防部采购程序中的应用不一。随着MOSA的立法推进，国防部又开展了相应的工作，2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Group）两个工作组合作来开展MOSA的指导文件制定等相关工作，已推出了MOSA参考框架和实施指南等指导文件。</w:t>
      </w:r>
    </w:p>
    <w:p w14:paraId="7B8BE6BC">
      <w:pPr>
        <w:spacing w:line="300" w:lineRule="auto"/>
        <w:ind w:firstLine="480" w:firstLineChars="200"/>
        <w:rPr>
          <w:rFonts w:ascii="仿宋" w:hAnsi="仿宋" w:eastAsia="仿宋" w:cs="仿宋"/>
        </w:rPr>
      </w:pPr>
      <w:r>
        <w:rPr>
          <w:rFonts w:hint="eastAsia" w:ascii="仿宋" w:hAnsi="仿宋" w:eastAsia="仿宋" w:cs="仿宋"/>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411FBDDF">
      <w:pPr>
        <w:spacing w:line="300" w:lineRule="auto"/>
        <w:ind w:firstLine="480" w:firstLineChars="200"/>
        <w:rPr>
          <w:rFonts w:ascii="仿宋" w:hAnsi="仿宋" w:eastAsia="仿宋" w:cs="仿宋"/>
        </w:rPr>
      </w:pPr>
      <w:r>
        <w:rPr>
          <w:rFonts w:hint="eastAsia" w:ascii="仿宋" w:hAnsi="仿宋" w:eastAsia="仿宋" w:cs="仿宋"/>
        </w:rPr>
        <w:t>美国国防部对开放架构相关工作的重视程度不断提升，领导力度不断加大，也体现开放式架构向上发展的趋势，此外开放式架构工作与标准化工作紧密结合也可作为发展开放式架构的启示。</w:t>
      </w:r>
    </w:p>
    <w:p w14:paraId="79C3EC59">
      <w:pPr>
        <w:spacing w:line="300" w:lineRule="auto"/>
        <w:ind w:firstLine="480" w:firstLineChars="200"/>
        <w:rPr>
          <w:rFonts w:ascii="仿宋" w:hAnsi="仿宋" w:eastAsia="仿宋" w:cs="仿宋"/>
        </w:rPr>
      </w:pPr>
      <w:r>
        <w:rPr>
          <w:rFonts w:hint="eastAsia" w:ascii="仿宋" w:hAnsi="仿宋" w:eastAsia="仿宋" w:cs="仿宋"/>
        </w:rPr>
        <w:t>待办：</w:t>
      </w:r>
    </w:p>
    <w:p w14:paraId="6C4F1874">
      <w:pPr>
        <w:spacing w:line="300" w:lineRule="auto"/>
        <w:ind w:firstLine="480" w:firstLineChars="200"/>
        <w:rPr>
          <w:rFonts w:ascii="仿宋" w:hAnsi="仿宋" w:eastAsia="仿宋" w:cs="仿宋"/>
        </w:rPr>
      </w:pPr>
      <w:r>
        <w:rPr>
          <w:rFonts w:hint="eastAsia" w:ascii="仿宋" w:hAnsi="仿宋" w:eastAsia="仿宋" w:cs="仿宋"/>
        </w:rPr>
        <w:t>1.2004年到2016年间的开放式架构发展情况，为什么04年OSJTF解散，为什么2016年前后又重新重视；</w:t>
      </w:r>
    </w:p>
    <w:p w14:paraId="3169F960">
      <w:pPr>
        <w:spacing w:line="300" w:lineRule="auto"/>
        <w:ind w:firstLine="480" w:firstLineChars="200"/>
        <w:rPr>
          <w:rFonts w:ascii="仿宋" w:hAnsi="仿宋" w:eastAsia="仿宋" w:cs="仿宋"/>
        </w:rPr>
      </w:pPr>
      <w:r>
        <w:rPr>
          <w:rFonts w:hint="eastAsia" w:ascii="仿宋" w:hAnsi="仿宋" w:eastAsia="仿宋" w:cs="仿宋"/>
        </w:rPr>
        <w:t>2.MOSA标准化相关工作（MOSA TSWG的相关工作）；</w:t>
      </w:r>
    </w:p>
    <w:p w14:paraId="4990AC9E">
      <w:pPr>
        <w:spacing w:line="300" w:lineRule="auto"/>
        <w:ind w:firstLine="480" w:firstLineChars="200"/>
        <w:rPr>
          <w:rFonts w:ascii="仿宋" w:hAnsi="仿宋" w:eastAsia="仿宋" w:cs="仿宋"/>
        </w:rPr>
      </w:pPr>
      <w:r>
        <w:rPr>
          <w:rFonts w:hint="eastAsia" w:ascii="仿宋" w:hAnsi="仿宋" w:eastAsia="仿宋" w:cs="仿宋"/>
        </w:rPr>
        <w:t>3.有一些组织关系还没有梳理完成，例如：成立MOSSWG的明确机构，成立MOSA TSWG的明确机构，DSC在国防标准化中的角色等。</w:t>
      </w:r>
    </w:p>
    <w:p w14:paraId="4E3B13F2">
      <w:pPr>
        <w:pStyle w:val="4"/>
      </w:pPr>
      <w:r>
        <w:rPr>
          <w:rFonts w:hint="eastAsia"/>
        </w:rPr>
        <w:t>4.</w:t>
      </w:r>
      <w:r>
        <w:t>3</w:t>
      </w:r>
      <w:r>
        <w:rPr>
          <w:rFonts w:hint="eastAsia"/>
        </w:rPr>
        <w:t>实践：</w:t>
      </w:r>
    </w:p>
    <w:p w14:paraId="4B790FFE">
      <w:pPr>
        <w:pStyle w:val="4"/>
      </w:pPr>
      <w:r>
        <w:rPr>
          <w:rFonts w:hint="eastAsia"/>
        </w:rPr>
        <w:t>4.</w:t>
      </w:r>
      <w:r>
        <w:t>4</w:t>
      </w:r>
      <w:r>
        <w:rPr>
          <w:rFonts w:hint="eastAsia"/>
        </w:rPr>
        <w:t>总结：</w:t>
      </w:r>
    </w:p>
    <w:p w14:paraId="7E675E62">
      <w:pPr>
        <w:pStyle w:val="4"/>
      </w:pPr>
      <w:r>
        <w:rPr>
          <w:rFonts w:hint="eastAsia"/>
        </w:rPr>
        <w:t>4.</w:t>
      </w:r>
      <w:r>
        <w:t>5</w:t>
      </w:r>
      <w:r>
        <w:rPr>
          <w:rFonts w:hint="eastAsia"/>
        </w:rPr>
        <w:t>待办：</w:t>
      </w:r>
    </w:p>
    <w:p w14:paraId="5E9CD102">
      <w:pPr>
        <w:spacing w:line="300" w:lineRule="auto"/>
        <w:ind w:firstLine="480" w:firstLineChars="200"/>
        <w:rPr>
          <w:rFonts w:ascii="仿宋" w:hAnsi="仿宋" w:eastAsia="仿宋" w:cs="仿宋"/>
        </w:rPr>
      </w:pPr>
      <w:r>
        <w:rPr>
          <w:rFonts w:hint="eastAsia" w:ascii="仿宋" w:hAnsi="仿宋" w:eastAsia="仿宋" w:cs="仿宋"/>
        </w:rPr>
        <w:t>美国的</w:t>
      </w:r>
    </w:p>
    <w:p w14:paraId="410B19DC">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61EBE87C">
      <w:r>
        <w:fldChar w:fldCharType="begin"/>
      </w:r>
      <w:r>
        <w:instrText xml:space="preserve"> HYPERLINK "https://www.aviationtoday.com/2004/02/01/perspective-the-mosa-approach-in-defense-acquisition/" </w:instrText>
      </w:r>
      <w:r>
        <w:fldChar w:fldCharType="separate"/>
      </w:r>
      <w:r>
        <w:rPr>
          <w:rStyle w:val="11"/>
        </w:rPr>
        <w:t>Perspective: The MOSA Approach in Defense Acquisition - Avionics International</w:t>
      </w:r>
      <w:r>
        <w:rPr>
          <w:rStyle w:val="11"/>
        </w:rPr>
        <w:fldChar w:fldCharType="end"/>
      </w:r>
    </w:p>
    <w:p w14:paraId="3242B58A">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443B3677"/>
    <w:p w14:paraId="2EA54A13">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16178263"/>
    <w:p w14:paraId="1EF1CE62">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3D8744D7"/>
    <w:p w14:paraId="0968D1A3">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153F126A"/>
    <w:p w14:paraId="2FB228D4">
      <w:r>
        <w:rPr>
          <w:rFonts w:hint="eastAsia"/>
        </w:rPr>
        <w:t>模块化设计具有以下特点：</w:t>
      </w:r>
    </w:p>
    <w:p w14:paraId="60D508F5"/>
    <w:p w14:paraId="67C584D4">
      <w:r>
        <w:rPr>
          <w:rFonts w:hint="eastAsia"/>
        </w:rPr>
        <w:t>划分为离散的、可扩展的、可重用的模块，由“隔离的、独立的功能元素”组成，</w:t>
      </w:r>
    </w:p>
    <w:p w14:paraId="1F85B373"/>
    <w:p w14:paraId="674214F9">
      <w:r>
        <w:rPr>
          <w:rFonts w:hint="eastAsia"/>
        </w:rPr>
        <w:t>严格使用严格的模块化接口定义，包括模块功能的面向对象描述，以及</w:t>
      </w:r>
    </w:p>
    <w:p w14:paraId="6D2B7842"/>
    <w:p w14:paraId="37B17A15">
      <w:r>
        <w:rPr>
          <w:rFonts w:hint="eastAsia"/>
        </w:rPr>
        <w:t>易于更换模块，并尽可能使用关键接口的通用行业标准。</w:t>
      </w:r>
    </w:p>
    <w:p w14:paraId="2EA54615"/>
    <w:p w14:paraId="157E4DED">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29803CB7"/>
    <w:p w14:paraId="37A5F420">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4933994"/>
    <w:p w14:paraId="4F14C752">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6B2F65A2"/>
    <w:p w14:paraId="145AF7AF">
      <w:r>
        <w:rPr>
          <w:rFonts w:hint="eastAsia"/>
        </w:rPr>
        <w:t>OSJTF 还在开发其他工具：</w:t>
      </w:r>
    </w:p>
    <w:p w14:paraId="00DCA38F"/>
    <w:p w14:paraId="2B7B5428">
      <w:r>
        <w:rPr>
          <w:rFonts w:hint="eastAsia"/>
        </w:rPr>
        <w:t>MOSA 技术和业务指标——一组指标或属性，指示系统设计中存在必要的模块化开放系统特征;</w:t>
      </w:r>
    </w:p>
    <w:p w14:paraId="355846A5"/>
    <w:p w14:paraId="169AEB31">
      <w:r>
        <w:rPr>
          <w:rFonts w:hint="eastAsia"/>
        </w:rPr>
        <w:t>MOSA 计划评估和评级工具改编自管理和预算办公室，用于进行计划评估，以说明在里程碑审查中对开放系统政策的遵守情况;和</w:t>
      </w:r>
    </w:p>
    <w:p w14:paraId="503D7E52"/>
    <w:p w14:paraId="6223E4DE">
      <w:r>
        <w:rPr>
          <w:rFonts w:hint="eastAsia"/>
        </w:rPr>
        <w:t>MOSA 流程模型 – 一种基于 Web 的工具，适用于政府政策制定者、项目经理、行业业务规划者、开放系统架构师和军事系统组件供应商。</w:t>
      </w:r>
    </w:p>
    <w:p w14:paraId="16100F56"/>
    <w:p w14:paraId="0129254C">
      <w:r>
        <w:rPr>
          <w:rFonts w:hint="eastAsia"/>
        </w:rPr>
        <w:t>将开放系统应用于武器系统采购是一项重大的文化变革。有许多成功要报告，但仍有许多工作要做。</w:t>
      </w:r>
    </w:p>
    <w:p w14:paraId="228879ED">
      <w:pPr>
        <w:pStyle w:val="4"/>
      </w:pPr>
      <w:r>
        <w:rPr>
          <w:rFonts w:hint="eastAsia"/>
        </w:rPr>
        <w:t>3.1主导机构：</w:t>
      </w:r>
    </w:p>
    <w:p w14:paraId="68BA3E1B"/>
    <w:p w14:paraId="4BED8250">
      <w:pPr>
        <w:pStyle w:val="4"/>
      </w:pPr>
      <w:r>
        <w:rPr>
          <w:rFonts w:hint="eastAsia"/>
        </w:rPr>
        <w:t>资料汇总</w:t>
      </w:r>
    </w:p>
    <w:p w14:paraId="71AD19D1">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18C45034">
      <w:pPr>
        <w:adjustRightInd w:val="0"/>
        <w:snapToGrid w:val="0"/>
        <w:spacing w:line="560" w:lineRule="exact"/>
        <w:rPr>
          <w:b/>
          <w:bCs/>
          <w:sz w:val="32"/>
          <w:szCs w:val="3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01D5A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E45964F">
            <w:r>
              <w:rPr>
                <w:rFonts w:hint="eastAsia"/>
              </w:rPr>
              <w:t>资料主题</w:t>
            </w:r>
          </w:p>
        </w:tc>
        <w:tc>
          <w:tcPr>
            <w:tcW w:w="6266" w:type="dxa"/>
          </w:tcPr>
          <w:p w14:paraId="0EA4301D">
            <w:r>
              <w:rPr>
                <w:rFonts w:hint="eastAsia"/>
              </w:rPr>
              <w:t>资料地址</w:t>
            </w:r>
          </w:p>
        </w:tc>
        <w:tc>
          <w:tcPr>
            <w:tcW w:w="617" w:type="dxa"/>
          </w:tcPr>
          <w:p w14:paraId="4BD69317">
            <w:r>
              <w:rPr>
                <w:rFonts w:hint="eastAsia"/>
              </w:rPr>
              <w:t>来源</w:t>
            </w:r>
          </w:p>
        </w:tc>
      </w:tr>
      <w:tr w14:paraId="6BC52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CBE888D">
            <w:r>
              <w:rPr>
                <w:rFonts w:hint="eastAsia"/>
              </w:rPr>
              <w:t>DSP</w:t>
            </w:r>
          </w:p>
          <w:p w14:paraId="34897E1D"/>
        </w:tc>
        <w:tc>
          <w:tcPr>
            <w:tcW w:w="6266" w:type="dxa"/>
          </w:tcPr>
          <w:p w14:paraId="19B7F6E1">
            <w:r>
              <w:t>https://www.dsp.dla.mil/</w:t>
            </w:r>
          </w:p>
        </w:tc>
        <w:tc>
          <w:tcPr>
            <w:tcW w:w="617" w:type="dxa"/>
          </w:tcPr>
          <w:p w14:paraId="4186CF22">
            <w:pPr>
              <w:adjustRightInd w:val="0"/>
              <w:snapToGrid w:val="0"/>
              <w:spacing w:line="560" w:lineRule="exact"/>
            </w:pPr>
            <w:r>
              <w:rPr>
                <w:rFonts w:hint="eastAsia"/>
              </w:rPr>
              <w:t>DSP官网</w:t>
            </w:r>
          </w:p>
        </w:tc>
      </w:tr>
      <w:tr w14:paraId="14D94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5F9D16C">
            <w:r>
              <w:rPr>
                <w:rFonts w:hint="eastAsia"/>
              </w:rPr>
              <w:t>DSP</w:t>
            </w:r>
            <w:r>
              <w:t>-</w:t>
            </w:r>
            <w:r>
              <w:rPr>
                <w:rFonts w:hint="eastAsia"/>
              </w:rPr>
              <w:t>管理架构</w:t>
            </w:r>
          </w:p>
        </w:tc>
        <w:tc>
          <w:tcPr>
            <w:tcW w:w="6266" w:type="dxa"/>
          </w:tcPr>
          <w:p w14:paraId="5BE3E1B1">
            <w:r>
              <w:t>https://www.dsp.dla.mil/Home/Management-Structure/</w:t>
            </w:r>
          </w:p>
        </w:tc>
        <w:tc>
          <w:tcPr>
            <w:tcW w:w="617" w:type="dxa"/>
          </w:tcPr>
          <w:p w14:paraId="50562BC0">
            <w:pPr>
              <w:adjustRightInd w:val="0"/>
              <w:snapToGrid w:val="0"/>
              <w:spacing w:line="560" w:lineRule="exact"/>
            </w:pPr>
          </w:p>
        </w:tc>
      </w:tr>
      <w:tr w14:paraId="12DB3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E73AAD1">
            <w:r>
              <w:rPr>
                <w:rFonts w:hint="eastAsia"/>
              </w:rPr>
              <w:t>DSP</w:t>
            </w:r>
            <w:r>
              <w:t>-</w:t>
            </w:r>
            <w:r>
              <w:rPr>
                <w:rFonts w:hint="eastAsia"/>
              </w:rPr>
              <w:t>历史</w:t>
            </w:r>
          </w:p>
        </w:tc>
        <w:tc>
          <w:tcPr>
            <w:tcW w:w="6266" w:type="dxa"/>
          </w:tcPr>
          <w:p w14:paraId="666D04D7">
            <w:r>
              <w:t>https://www.dsp.dla.mil/Home/History-of-the-DSP/</w:t>
            </w:r>
          </w:p>
        </w:tc>
        <w:tc>
          <w:tcPr>
            <w:tcW w:w="617" w:type="dxa"/>
          </w:tcPr>
          <w:p w14:paraId="7F5FA21D">
            <w:pPr>
              <w:adjustRightInd w:val="0"/>
              <w:snapToGrid w:val="0"/>
              <w:spacing w:line="560" w:lineRule="exact"/>
            </w:pPr>
          </w:p>
        </w:tc>
      </w:tr>
      <w:tr w14:paraId="48755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EB1E8EB">
            <w:r>
              <w:rPr>
                <w:rFonts w:hint="eastAsia"/>
              </w:rPr>
              <w:t>DSP</w:t>
            </w:r>
            <w:r>
              <w:t>-</w:t>
            </w:r>
            <w:r>
              <w:rPr>
                <w:rFonts w:hint="eastAsia"/>
              </w:rPr>
              <w:t>宗旨使命愿景</w:t>
            </w:r>
          </w:p>
        </w:tc>
        <w:tc>
          <w:tcPr>
            <w:tcW w:w="6266" w:type="dxa"/>
          </w:tcPr>
          <w:p w14:paraId="0A417550">
            <w:r>
              <w:t>https://www.dsp.dla.mil/Home/Mission/</w:t>
            </w:r>
          </w:p>
        </w:tc>
        <w:tc>
          <w:tcPr>
            <w:tcW w:w="617" w:type="dxa"/>
          </w:tcPr>
          <w:p w14:paraId="0C3E2DF2">
            <w:pPr>
              <w:adjustRightInd w:val="0"/>
              <w:snapToGrid w:val="0"/>
              <w:spacing w:line="560" w:lineRule="exact"/>
            </w:pPr>
          </w:p>
        </w:tc>
      </w:tr>
      <w:tr w14:paraId="01F09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7FE7979">
            <w:r>
              <w:rPr>
                <w:rFonts w:hint="eastAsia"/>
              </w:rPr>
              <w:t>SE</w:t>
            </w:r>
            <w:r>
              <w:t>&amp;A</w:t>
            </w:r>
            <w:r>
              <w:rPr>
                <w:rFonts w:hint="eastAsia"/>
              </w:rPr>
              <w:t xml:space="preserve"> DSP</w:t>
            </w:r>
          </w:p>
        </w:tc>
        <w:tc>
          <w:tcPr>
            <w:tcW w:w="6266" w:type="dxa"/>
          </w:tcPr>
          <w:p w14:paraId="5886F990">
            <w:r>
              <w:t>https://www.cto.mil/sea/dsp/</w:t>
            </w:r>
          </w:p>
        </w:tc>
        <w:tc>
          <w:tcPr>
            <w:tcW w:w="617" w:type="dxa"/>
          </w:tcPr>
          <w:p w14:paraId="4D20E4A6">
            <w:pPr>
              <w:adjustRightInd w:val="0"/>
              <w:snapToGrid w:val="0"/>
              <w:spacing w:line="560" w:lineRule="exact"/>
            </w:pPr>
          </w:p>
        </w:tc>
      </w:tr>
      <w:tr w14:paraId="62903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6F3F750">
            <w:r>
              <w:rPr>
                <w:rFonts w:hint="eastAsia"/>
              </w:rPr>
              <w:t>三军MOSA备忘录</w:t>
            </w:r>
          </w:p>
        </w:tc>
        <w:tc>
          <w:tcPr>
            <w:tcW w:w="6266" w:type="dxa"/>
          </w:tcPr>
          <w:p w14:paraId="5863676B">
            <w:r>
              <w:t>https://www.dsp.dla.mil/Portals/26/Documents/PolicyAndGuidance/Memo-Modular%20Open%20Systems%20Approach%202024.pdf</w:t>
            </w:r>
          </w:p>
        </w:tc>
        <w:tc>
          <w:tcPr>
            <w:tcW w:w="617" w:type="dxa"/>
          </w:tcPr>
          <w:p w14:paraId="78835CE8">
            <w:pPr>
              <w:adjustRightInd w:val="0"/>
              <w:snapToGrid w:val="0"/>
              <w:spacing w:line="560" w:lineRule="exact"/>
            </w:pPr>
          </w:p>
        </w:tc>
      </w:tr>
      <w:tr w14:paraId="048AD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2220577">
            <w:r>
              <w:t>SE&amp;A</w:t>
            </w:r>
            <w:r>
              <w:rPr>
                <w:rFonts w:hint="eastAsia"/>
              </w:rPr>
              <w:t>办公室</w:t>
            </w:r>
          </w:p>
        </w:tc>
        <w:tc>
          <w:tcPr>
            <w:tcW w:w="6266" w:type="dxa"/>
          </w:tcPr>
          <w:p w14:paraId="7E387773">
            <w:r>
              <w:t>https://www.cto.mil/sea/about/</w:t>
            </w:r>
          </w:p>
        </w:tc>
        <w:tc>
          <w:tcPr>
            <w:tcW w:w="617" w:type="dxa"/>
          </w:tcPr>
          <w:p w14:paraId="574B7315">
            <w:pPr>
              <w:adjustRightInd w:val="0"/>
              <w:snapToGrid w:val="0"/>
              <w:spacing w:line="560" w:lineRule="exact"/>
            </w:pPr>
          </w:p>
        </w:tc>
      </w:tr>
      <w:tr w14:paraId="050E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CE6A481">
            <w:r>
              <w:rPr>
                <w:rFonts w:hint="eastAsia"/>
              </w:rPr>
              <w:t>国防采购项目中的MOSA参考框架</w:t>
            </w:r>
          </w:p>
        </w:tc>
        <w:tc>
          <w:tcPr>
            <w:tcW w:w="6266" w:type="dxa"/>
          </w:tcPr>
          <w:p w14:paraId="1741C5DA">
            <w:r>
              <w:t>https://www.cto.mil/wp-content/uploads/2023/06/MOSA-Framework-2020.pdf</w:t>
            </w:r>
          </w:p>
        </w:tc>
        <w:tc>
          <w:tcPr>
            <w:tcW w:w="617" w:type="dxa"/>
          </w:tcPr>
          <w:p w14:paraId="514FFFA1">
            <w:pPr>
              <w:adjustRightInd w:val="0"/>
              <w:snapToGrid w:val="0"/>
              <w:spacing w:line="560" w:lineRule="exact"/>
            </w:pPr>
          </w:p>
        </w:tc>
      </w:tr>
      <w:tr w14:paraId="285CD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F73D1A2">
            <w:r>
              <w:rPr>
                <w:rFonts w:hint="eastAsia"/>
              </w:rPr>
              <w:t>MOSA</w:t>
            </w:r>
          </w:p>
        </w:tc>
        <w:tc>
          <w:tcPr>
            <w:tcW w:w="6266" w:type="dxa"/>
          </w:tcPr>
          <w:p w14:paraId="393E0526">
            <w:r>
              <w:t>https://www.dau.edu/acquipedia-article/modular-open-systems-approach-mosa</w:t>
            </w:r>
          </w:p>
        </w:tc>
        <w:tc>
          <w:tcPr>
            <w:tcW w:w="617" w:type="dxa"/>
          </w:tcPr>
          <w:p w14:paraId="1B585FB8">
            <w:pPr>
              <w:adjustRightInd w:val="0"/>
              <w:snapToGrid w:val="0"/>
              <w:spacing w:line="560" w:lineRule="exact"/>
            </w:pPr>
          </w:p>
        </w:tc>
      </w:tr>
      <w:tr w14:paraId="07B99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BFD10F2">
            <w:r>
              <w:rPr>
                <w:rFonts w:hint="eastAsia"/>
              </w:rPr>
              <w:t>PPT</w:t>
            </w:r>
          </w:p>
        </w:tc>
        <w:tc>
          <w:tcPr>
            <w:tcW w:w="6266" w:type="dxa"/>
          </w:tcPr>
          <w:p w14:paraId="067FCB24">
            <w:r>
              <w:t>https://ndia.dtic.mil/wp-content/uploads/2022/systems/Wed_24548_Geier.pdf</w:t>
            </w:r>
          </w:p>
        </w:tc>
        <w:tc>
          <w:tcPr>
            <w:tcW w:w="617" w:type="dxa"/>
          </w:tcPr>
          <w:p w14:paraId="6FA0D288">
            <w:pPr>
              <w:adjustRightInd w:val="0"/>
              <w:snapToGrid w:val="0"/>
              <w:spacing w:line="560" w:lineRule="exact"/>
            </w:pPr>
          </w:p>
        </w:tc>
      </w:tr>
      <w:tr w14:paraId="74A25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6C5EAC3"/>
        </w:tc>
        <w:tc>
          <w:tcPr>
            <w:tcW w:w="6266" w:type="dxa"/>
          </w:tcPr>
          <w:p w14:paraId="21CC43A9">
            <w:r>
              <w:t>https://www.dau.edu/acquisition-knowledge-matrix?field_acquisition_category_target_id=185150&amp;page=0</w:t>
            </w:r>
          </w:p>
        </w:tc>
        <w:tc>
          <w:tcPr>
            <w:tcW w:w="617" w:type="dxa"/>
          </w:tcPr>
          <w:p w14:paraId="344C77F2">
            <w:pPr>
              <w:adjustRightInd w:val="0"/>
              <w:snapToGrid w:val="0"/>
              <w:spacing w:line="560" w:lineRule="exact"/>
            </w:pPr>
          </w:p>
        </w:tc>
      </w:tr>
      <w:tr w14:paraId="22D9F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330D5EB">
            <w:r>
              <w:rPr>
                <w:rFonts w:hint="eastAsia"/>
              </w:rPr>
              <w:t>海军MOSA指南</w:t>
            </w:r>
          </w:p>
        </w:tc>
        <w:tc>
          <w:tcPr>
            <w:tcW w:w="6266" w:type="dxa"/>
          </w:tcPr>
          <w:p w14:paraId="538B4F98">
            <w:r>
              <w:t>https://www.cto.mil/wp-content/uploads/2025/05/Naval-MOSA-Implementation-Guide-V1.0.pdf</w:t>
            </w:r>
          </w:p>
        </w:tc>
        <w:tc>
          <w:tcPr>
            <w:tcW w:w="617" w:type="dxa"/>
          </w:tcPr>
          <w:p w14:paraId="22794F0A">
            <w:pPr>
              <w:adjustRightInd w:val="0"/>
              <w:snapToGrid w:val="0"/>
              <w:spacing w:line="560" w:lineRule="exact"/>
            </w:pPr>
          </w:p>
        </w:tc>
      </w:tr>
      <w:tr w14:paraId="5FD84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FE9E8FB">
            <w:r>
              <w:t>Implementing a Modular Open Systems Approach in Department of Defense Programs</w:t>
            </w:r>
          </w:p>
        </w:tc>
        <w:tc>
          <w:tcPr>
            <w:tcW w:w="6266" w:type="dxa"/>
          </w:tcPr>
          <w:p w14:paraId="6B9B9A4E">
            <w:r>
              <w:t>https://www.cto.mil/wp-content/uploads/2025/03/MOSA-Implementation-Guidebook-27Feb2025-Cleared.pdf</w:t>
            </w:r>
          </w:p>
        </w:tc>
        <w:tc>
          <w:tcPr>
            <w:tcW w:w="617" w:type="dxa"/>
          </w:tcPr>
          <w:p w14:paraId="4B7B9A39">
            <w:pPr>
              <w:adjustRightInd w:val="0"/>
              <w:snapToGrid w:val="0"/>
              <w:spacing w:line="560" w:lineRule="exact"/>
            </w:pPr>
          </w:p>
        </w:tc>
      </w:tr>
      <w:tr w14:paraId="0AA8B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755235E">
            <w:r>
              <w:t xml:space="preserve">PEO Aviation MOSA </w:t>
            </w:r>
          </w:p>
          <w:p w14:paraId="683A71C9">
            <w:r>
              <w:t>Implementation Guide Skinny</w:t>
            </w:r>
          </w:p>
        </w:tc>
        <w:tc>
          <w:tcPr>
            <w:tcW w:w="6266" w:type="dxa"/>
          </w:tcPr>
          <w:p w14:paraId="252C2568">
            <w:r>
              <w:t>https://api.army.mil/e2/c/downloads/2021/08/17/8857ac93/peo-implementation-guide-skinny.pdf</w:t>
            </w:r>
          </w:p>
        </w:tc>
        <w:tc>
          <w:tcPr>
            <w:tcW w:w="617" w:type="dxa"/>
          </w:tcPr>
          <w:p w14:paraId="29A3C426">
            <w:pPr>
              <w:adjustRightInd w:val="0"/>
              <w:snapToGrid w:val="0"/>
              <w:spacing w:line="560" w:lineRule="exact"/>
            </w:pPr>
          </w:p>
        </w:tc>
      </w:tr>
      <w:tr w14:paraId="564E5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5711E44">
            <w:r>
              <w:t>MOSA-Info-Sheet-Cleared</w:t>
            </w:r>
          </w:p>
        </w:tc>
        <w:tc>
          <w:tcPr>
            <w:tcW w:w="6266" w:type="dxa"/>
          </w:tcPr>
          <w:p w14:paraId="5FA2C9A7">
            <w:r>
              <w:t>https://www.cto.mil/wp-content/uploads/2025/03/MOSA-Info-Sheet-Cleared-20250314.pdf</w:t>
            </w:r>
          </w:p>
        </w:tc>
        <w:tc>
          <w:tcPr>
            <w:tcW w:w="617" w:type="dxa"/>
          </w:tcPr>
          <w:p w14:paraId="031EF94B">
            <w:pPr>
              <w:adjustRightInd w:val="0"/>
              <w:snapToGrid w:val="0"/>
              <w:spacing w:line="560" w:lineRule="exact"/>
            </w:pPr>
          </w:p>
        </w:tc>
      </w:tr>
      <w:tr w14:paraId="59C3E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722ED16">
            <w:r>
              <w:rPr>
                <w:rFonts w:hint="eastAsia"/>
              </w:rPr>
              <w:t>空军指南</w:t>
            </w:r>
          </w:p>
        </w:tc>
        <w:tc>
          <w:tcPr>
            <w:tcW w:w="6266" w:type="dxa"/>
          </w:tcPr>
          <w:p w14:paraId="31EE13AC">
            <w:r>
              <w:t>https://guide.dafdto.com/wp-content/uploads/2023/11/AFMC-Guidebook-for-Implementing-MOSA-in-Weapon-Systems_V2.0_Distro_A.pdf</w:t>
            </w:r>
          </w:p>
        </w:tc>
        <w:tc>
          <w:tcPr>
            <w:tcW w:w="617" w:type="dxa"/>
          </w:tcPr>
          <w:p w14:paraId="15758D8C">
            <w:pPr>
              <w:adjustRightInd w:val="0"/>
              <w:snapToGrid w:val="0"/>
              <w:spacing w:line="560" w:lineRule="exact"/>
            </w:pPr>
          </w:p>
        </w:tc>
      </w:tr>
    </w:tbl>
    <w:p w14:paraId="4AC568F7">
      <w:pPr>
        <w:adjustRightInd w:val="0"/>
        <w:snapToGrid w:val="0"/>
        <w:spacing w:line="560" w:lineRule="exact"/>
        <w:rPr>
          <w:b/>
          <w:bCs/>
          <w:sz w:val="32"/>
          <w:szCs w:val="32"/>
        </w:rPr>
      </w:pPr>
    </w:p>
    <w:p w14:paraId="1258B90E">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70C00215">
      <w:pPr>
        <w:adjustRightInd w:val="0"/>
        <w:snapToGrid w:val="0"/>
        <w:spacing w:line="560" w:lineRule="exact"/>
        <w:rPr>
          <w:b/>
          <w:bCs/>
          <w:sz w:val="32"/>
          <w:szCs w:val="32"/>
        </w:rPr>
      </w:pPr>
    </w:p>
    <w:p w14:paraId="111CE215">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1C19FC4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2BEED4B4">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0462D2BD">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5E3B4BDD">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23DA47C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07FFBB97">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78CC48B9">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500EDC3D">
      <w:pPr>
        <w:adjustRightInd w:val="0"/>
        <w:snapToGrid w:val="0"/>
        <w:rPr>
          <w:rFonts w:ascii="Segoe UI" w:hAnsi="Segoe UI" w:cs="Segoe UI"/>
          <w:shd w:val="clear" w:color="auto" w:fill="FFFFFF"/>
        </w:rPr>
      </w:pPr>
    </w:p>
    <w:p w14:paraId="6523F3E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2F50429A">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65790" cy="4197715"/>
                    </a:xfrm>
                    <a:prstGeom prst="rect">
                      <a:avLst/>
                    </a:prstGeom>
                  </pic:spPr>
                </pic:pic>
              </a:graphicData>
            </a:graphic>
          </wp:inline>
        </w:drawing>
      </w:r>
    </w:p>
    <w:p w14:paraId="3517E071">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700A285D">
      <w:pPr>
        <w:adjustRightInd w:val="0"/>
        <w:snapToGrid w:val="0"/>
        <w:rPr>
          <w:b/>
          <w:bCs/>
          <w:sz w:val="32"/>
          <w:szCs w:val="32"/>
        </w:rPr>
      </w:pPr>
    </w:p>
    <w:p w14:paraId="50BB6568">
      <w:pPr>
        <w:adjustRightInd w:val="0"/>
        <w:snapToGrid w:val="0"/>
        <w:rPr>
          <w:b/>
          <w:bCs/>
          <w:sz w:val="32"/>
          <w:szCs w:val="32"/>
        </w:rPr>
      </w:pPr>
      <w:r>
        <w:rPr>
          <w:rFonts w:hint="eastAsia"/>
          <w:b/>
          <w:bCs/>
          <w:sz w:val="32"/>
          <w:szCs w:val="32"/>
        </w:rPr>
        <w:t>DSP包含MOSA</w:t>
      </w:r>
    </w:p>
    <w:p w14:paraId="402E16BB">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66692" cy="2000543"/>
                    </a:xfrm>
                    <a:prstGeom prst="rect">
                      <a:avLst/>
                    </a:prstGeom>
                  </pic:spPr>
                </pic:pic>
              </a:graphicData>
            </a:graphic>
          </wp:inline>
        </w:drawing>
      </w:r>
    </w:p>
    <w:p w14:paraId="432AD681">
      <w:pPr>
        <w:adjustRightInd w:val="0"/>
        <w:snapToGrid w:val="0"/>
        <w:rPr>
          <w:b/>
          <w:bCs/>
          <w:sz w:val="32"/>
          <w:szCs w:val="32"/>
        </w:rPr>
      </w:pPr>
      <w:r>
        <w:rPr>
          <w:b/>
          <w:bCs/>
          <w:sz w:val="32"/>
          <w:szCs w:val="32"/>
        </w:rPr>
        <w:t>https://www.dsp.dla.mil/Programs/</w:t>
      </w:r>
    </w:p>
    <w:p w14:paraId="5D73F325">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4443BBF1">
      <w:pPr>
        <w:adjustRightInd w:val="0"/>
        <w:snapToGrid w:val="0"/>
        <w:rPr>
          <w:rFonts w:ascii="Arial" w:hAnsi="Arial" w:cs="Arial"/>
          <w:color w:val="000000"/>
          <w:sz w:val="20"/>
          <w:szCs w:val="20"/>
          <w:shd w:val="clear" w:color="auto" w:fill="FFFFFF"/>
        </w:rPr>
      </w:pPr>
    </w:p>
    <w:p w14:paraId="758DDCCC">
      <w:pPr>
        <w:adjustRightInd w:val="0"/>
        <w:snapToGrid w:val="0"/>
        <w:spacing w:line="560" w:lineRule="exact"/>
        <w:rPr>
          <w:b/>
          <w:bCs/>
          <w:sz w:val="32"/>
          <w:szCs w:val="32"/>
        </w:rPr>
      </w:pPr>
    </w:p>
    <w:p w14:paraId="5E5C6C8D">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11"/>
          <w:b/>
          <w:bCs/>
          <w:sz w:val="32"/>
          <w:szCs w:val="32"/>
        </w:rPr>
        <w:t>https://www.dau.edu/search?search=MOSA</w:t>
      </w:r>
      <w:r>
        <w:rPr>
          <w:rStyle w:val="11"/>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1ABD5389">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6C3A8157">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1B80C6E4">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365ADC0A">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56B842D9">
      <w:pPr>
        <w:adjustRightInd w:val="0"/>
        <w:snapToGrid w:val="0"/>
        <w:spacing w:line="560" w:lineRule="exact"/>
        <w:rPr>
          <w:b/>
          <w:bCs/>
          <w:sz w:val="32"/>
          <w:szCs w:val="32"/>
        </w:rPr>
      </w:pPr>
    </w:p>
    <w:p w14:paraId="75E96927">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11"/>
          <w:b/>
          <w:bCs/>
          <w:sz w:val="32"/>
          <w:szCs w:val="32"/>
        </w:rPr>
        <w:t>https://www.gao.gov/products/gao-25-106931</w:t>
      </w:r>
      <w:r>
        <w:rPr>
          <w:rStyle w:val="11"/>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1673F3B5">
      <w:pPr>
        <w:adjustRightInd w:val="0"/>
        <w:snapToGrid w:val="0"/>
        <w:spacing w:line="560" w:lineRule="exact"/>
        <w:rPr>
          <w:b/>
          <w:bCs/>
          <w:sz w:val="32"/>
          <w:szCs w:val="32"/>
        </w:rPr>
      </w:pPr>
    </w:p>
    <w:p w14:paraId="79592803">
      <w:pPr>
        <w:adjustRightInd w:val="0"/>
        <w:snapToGrid w:val="0"/>
        <w:spacing w:line="560" w:lineRule="exact"/>
        <w:rPr>
          <w:b/>
          <w:bCs/>
          <w:sz w:val="32"/>
          <w:szCs w:val="32"/>
        </w:rPr>
      </w:pPr>
    </w:p>
    <w:p w14:paraId="6C61034F">
      <w:pPr>
        <w:adjustRightInd w:val="0"/>
        <w:snapToGrid w:val="0"/>
        <w:spacing w:line="560" w:lineRule="exact"/>
        <w:rPr>
          <w:b/>
          <w:bCs/>
          <w:sz w:val="32"/>
          <w:szCs w:val="32"/>
        </w:rPr>
      </w:pPr>
    </w:p>
    <w:p w14:paraId="60C8D03A">
      <w:pPr>
        <w:adjustRightInd w:val="0"/>
        <w:snapToGrid w:val="0"/>
        <w:spacing w:line="560" w:lineRule="exact"/>
        <w:rPr>
          <w:b/>
          <w:bCs/>
          <w:sz w:val="32"/>
          <w:szCs w:val="32"/>
        </w:rPr>
      </w:pPr>
      <w:r>
        <w:rPr>
          <w:b/>
          <w:bCs/>
          <w:sz w:val="32"/>
          <w:szCs w:val="32"/>
        </w:rPr>
        <w:t>https://www.navair.navy.mil/MOSA</w:t>
      </w:r>
    </w:p>
    <w:p w14:paraId="12E93BE1">
      <w:pPr>
        <w:adjustRightInd w:val="0"/>
        <w:snapToGrid w:val="0"/>
        <w:spacing w:line="560" w:lineRule="exact"/>
        <w:rPr>
          <w:b/>
          <w:bCs/>
          <w:sz w:val="32"/>
          <w:szCs w:val="32"/>
        </w:rPr>
      </w:pPr>
      <w:r>
        <w:rPr>
          <w:rFonts w:hint="eastAsia"/>
          <w:b/>
          <w:bCs/>
          <w:sz w:val="32"/>
          <w:szCs w:val="32"/>
        </w:rPr>
        <w:t>：美国海军航空系统司令部</w:t>
      </w:r>
    </w:p>
    <w:p w14:paraId="18AAF56A">
      <w:pPr>
        <w:adjustRightInd w:val="0"/>
        <w:snapToGrid w:val="0"/>
        <w:spacing w:line="560" w:lineRule="exact"/>
        <w:rPr>
          <w:b/>
          <w:bCs/>
          <w:sz w:val="32"/>
          <w:szCs w:val="32"/>
        </w:rPr>
      </w:pPr>
    </w:p>
    <w:p w14:paraId="7195B2B4">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16F5A35F">
      <w:pPr>
        <w:adjustRightInd w:val="0"/>
        <w:snapToGrid w:val="0"/>
        <w:spacing w:line="560" w:lineRule="exact"/>
        <w:rPr>
          <w:b/>
          <w:bCs/>
          <w:sz w:val="32"/>
          <w:szCs w:val="32"/>
        </w:rPr>
      </w:pPr>
    </w:p>
    <w:p w14:paraId="68893047">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11"/>
          <w:b/>
          <w:bCs/>
          <w:sz w:val="32"/>
          <w:szCs w:val="32"/>
        </w:rPr>
        <w:t>https://www.acquisition.gov/afars/modular-open-systems-approach-mosa-10-u.s.-code-%C2%A7-4401</w:t>
      </w:r>
      <w:r>
        <w:rPr>
          <w:rStyle w:val="11"/>
          <w:b/>
          <w:bCs/>
          <w:sz w:val="32"/>
          <w:szCs w:val="32"/>
        </w:rPr>
        <w:fldChar w:fldCharType="end"/>
      </w:r>
      <w:r>
        <w:rPr>
          <w:b/>
          <w:bCs/>
          <w:sz w:val="32"/>
          <w:szCs w:val="32"/>
        </w:rPr>
        <w:br w:type="textWrapping"/>
      </w:r>
      <w:r>
        <w:rPr>
          <w:rFonts w:hint="eastAsia"/>
          <w:b/>
          <w:bCs/>
          <w:sz w:val="32"/>
          <w:szCs w:val="32"/>
        </w:rPr>
        <w:t>暂未确定是什么</w:t>
      </w:r>
    </w:p>
    <w:p w14:paraId="720DF98B">
      <w:pPr>
        <w:adjustRightInd w:val="0"/>
        <w:snapToGrid w:val="0"/>
        <w:spacing w:line="560" w:lineRule="exact"/>
        <w:rPr>
          <w:b/>
          <w:bCs/>
          <w:sz w:val="32"/>
          <w:szCs w:val="32"/>
        </w:rPr>
      </w:pPr>
      <w:r>
        <w:rPr>
          <w:b/>
          <w:bCs/>
          <w:sz w:val="32"/>
          <w:szCs w:val="32"/>
        </w:rPr>
        <w:t>https://www.dau.edu/cop/mosa</w:t>
      </w:r>
    </w:p>
    <w:p w14:paraId="1D2B3CF7">
      <w:pPr>
        <w:adjustRightInd w:val="0"/>
        <w:snapToGrid w:val="0"/>
        <w:spacing w:line="560" w:lineRule="exact"/>
        <w:rPr>
          <w:b/>
          <w:bCs/>
          <w:sz w:val="32"/>
          <w:szCs w:val="32"/>
        </w:rPr>
      </w:pPr>
      <w:r>
        <w:rPr>
          <w:b/>
          <w:bCs/>
          <w:sz w:val="32"/>
          <w:szCs w:val="32"/>
        </w:rPr>
        <w:t>https://www.omg.org/mosa/</w:t>
      </w:r>
    </w:p>
    <w:p w14:paraId="1ECE7FC3">
      <w:pPr>
        <w:adjustRightInd w:val="0"/>
        <w:snapToGrid w:val="0"/>
        <w:spacing w:line="560" w:lineRule="exact"/>
      </w:pPr>
      <w:r>
        <w:rPr>
          <w:rFonts w:hint="eastAsia"/>
          <w:b/>
          <w:bCs/>
          <w:sz w:val="32"/>
          <w:szCs w:val="32"/>
        </w:rPr>
        <w:t>主要资料：</w:t>
      </w:r>
    </w:p>
    <w:p w14:paraId="73081FDF">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11"/>
          <w:b/>
          <w:bCs/>
          <w:sz w:val="32"/>
          <w:szCs w:val="32"/>
        </w:rPr>
        <w:t>https://www.cto.mil/sea/mosa/</w:t>
      </w:r>
      <w:r>
        <w:rPr>
          <w:rStyle w:val="11"/>
          <w:b/>
          <w:bCs/>
          <w:sz w:val="32"/>
          <w:szCs w:val="32"/>
        </w:rPr>
        <w:fldChar w:fldCharType="end"/>
      </w:r>
    </w:p>
    <w:p w14:paraId="19BBAB85">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4FAFCA62">
      <w:pPr>
        <w:adjustRightInd w:val="0"/>
        <w:snapToGrid w:val="0"/>
        <w:spacing w:line="560" w:lineRule="exact"/>
        <w:rPr>
          <w:b/>
          <w:bCs/>
          <w:sz w:val="32"/>
          <w:szCs w:val="32"/>
        </w:rPr>
      </w:pPr>
      <w:r>
        <w:rPr>
          <w:rFonts w:hint="eastAsia"/>
          <w:b/>
          <w:bCs/>
          <w:sz w:val="32"/>
          <w:szCs w:val="32"/>
        </w:rPr>
        <w:t>网站下有一些资源、法条之类的</w:t>
      </w:r>
    </w:p>
    <w:p w14:paraId="25F3ECDE">
      <w:pPr>
        <w:adjustRightInd w:val="0"/>
        <w:snapToGrid w:val="0"/>
        <w:spacing w:line="560" w:lineRule="exact"/>
        <w:rPr>
          <w:b/>
          <w:bCs/>
          <w:sz w:val="32"/>
          <w:szCs w:val="32"/>
        </w:rPr>
      </w:pPr>
      <w:r>
        <w:rPr>
          <w:rFonts w:hint="eastAsia"/>
          <w:b/>
          <w:bCs/>
          <w:sz w:val="32"/>
          <w:szCs w:val="32"/>
        </w:rPr>
        <w:t xml:space="preserve"> </w:t>
      </w:r>
    </w:p>
    <w:p w14:paraId="19D2BD45">
      <w:pPr>
        <w:adjustRightInd w:val="0"/>
        <w:snapToGrid w:val="0"/>
        <w:spacing w:line="560" w:lineRule="exact"/>
        <w:rPr>
          <w:b/>
          <w:bCs/>
          <w:sz w:val="32"/>
          <w:szCs w:val="32"/>
        </w:rPr>
      </w:pPr>
      <w:r>
        <w:rPr>
          <w:b/>
          <w:bCs/>
          <w:sz w:val="32"/>
          <w:szCs w:val="32"/>
        </w:rPr>
        <w:t>https://www.dsp.dla.mil/Programs/MOSA/</w:t>
      </w:r>
    </w:p>
    <w:p w14:paraId="44B3B185">
      <w:pPr>
        <w:adjustRightInd w:val="0"/>
        <w:snapToGrid w:val="0"/>
        <w:spacing w:line="560" w:lineRule="exact"/>
        <w:rPr>
          <w:b/>
          <w:bCs/>
          <w:sz w:val="32"/>
          <w:szCs w:val="32"/>
        </w:rPr>
      </w:pPr>
      <w:r>
        <w:t>这个链接指向的是</w:t>
      </w:r>
      <w:r>
        <w:rPr>
          <w:rStyle w:val="9"/>
        </w:rPr>
        <w:t>DLA(Defense Logistics Agency) 的官方网站</w:t>
      </w:r>
      <w:r>
        <w:t>，即</w:t>
      </w:r>
      <w:r>
        <w:rPr>
          <w:rStyle w:val="9"/>
        </w:rPr>
        <w:t>美国国防后勤局</w:t>
      </w:r>
      <w:r>
        <w:t>的主页。DLA是美国国防部下属的一个关键机构，负责管理和提供全球范围内的后勤和物资支持，确保美国军队及其他政府机构的运营需求得到满足。</w:t>
      </w:r>
    </w:p>
    <w:p w14:paraId="3CAE10A9">
      <w:pPr>
        <w:adjustRightInd w:val="0"/>
        <w:snapToGrid w:val="0"/>
        <w:spacing w:line="560" w:lineRule="exact"/>
        <w:rPr>
          <w:b/>
          <w:bCs/>
          <w:sz w:val="32"/>
          <w:szCs w:val="32"/>
        </w:rPr>
      </w:pPr>
    </w:p>
    <w:p w14:paraId="7CC1F8F6">
      <w:pPr>
        <w:adjustRightInd w:val="0"/>
        <w:snapToGrid w:val="0"/>
        <w:spacing w:line="560" w:lineRule="exact"/>
        <w:rPr>
          <w:b/>
          <w:bCs/>
          <w:sz w:val="32"/>
          <w:szCs w:val="32"/>
        </w:rPr>
      </w:pPr>
      <w:r>
        <w:rPr>
          <w:rFonts w:hint="eastAsia"/>
          <w:b/>
          <w:bCs/>
          <w:sz w:val="32"/>
          <w:szCs w:val="32"/>
        </w:rPr>
        <w:t>FACE未来机载能力环境</w:t>
      </w:r>
    </w:p>
    <w:p w14:paraId="3878DFD7">
      <w:pPr>
        <w:adjustRightInd w:val="0"/>
        <w:snapToGrid w:val="0"/>
        <w:spacing w:line="560" w:lineRule="exact"/>
        <w:rPr>
          <w:b/>
          <w:bCs/>
          <w:sz w:val="32"/>
          <w:szCs w:val="32"/>
        </w:rPr>
      </w:pPr>
      <w:r>
        <w:rPr>
          <w:rFonts w:hint="eastAsia"/>
          <w:b/>
          <w:bCs/>
          <w:sz w:val="32"/>
          <w:szCs w:val="32"/>
        </w:rPr>
        <w:t>SOSA传感器开放式体系架构</w:t>
      </w:r>
    </w:p>
    <w:p w14:paraId="1030194B">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20471216">
      <w:pPr>
        <w:adjustRightInd w:val="0"/>
        <w:snapToGrid w:val="0"/>
        <w:spacing w:line="560" w:lineRule="exact"/>
        <w:rPr>
          <w:b/>
          <w:bCs/>
          <w:sz w:val="32"/>
          <w:szCs w:val="32"/>
        </w:rPr>
      </w:pPr>
    </w:p>
    <w:p w14:paraId="618DA68A">
      <w:pPr>
        <w:adjustRightInd w:val="0"/>
        <w:snapToGrid w:val="0"/>
        <w:spacing w:line="560" w:lineRule="exact"/>
        <w:rPr>
          <w:b/>
          <w:bCs/>
          <w:sz w:val="32"/>
          <w:szCs w:val="32"/>
        </w:rPr>
      </w:pPr>
      <w:r>
        <w:rPr>
          <w:rFonts w:hint="eastAsia"/>
          <w:b/>
          <w:bCs/>
          <w:sz w:val="32"/>
          <w:szCs w:val="32"/>
        </w:rPr>
        <w:t>SCA开放式软件通信架构</w:t>
      </w:r>
    </w:p>
    <w:p w14:paraId="123AE017">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77B391AB">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3EE8399E">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DF73CD6">
      <w:pPr>
        <w:adjustRightInd w:val="0"/>
        <w:snapToGrid w:val="0"/>
        <w:spacing w:line="560" w:lineRule="exact"/>
        <w:rPr>
          <w:b/>
          <w:bCs/>
          <w:sz w:val="32"/>
          <w:szCs w:val="32"/>
        </w:rPr>
      </w:pPr>
      <w:r>
        <w:rPr>
          <w:rFonts w:hint="eastAsia"/>
          <w:b/>
          <w:bCs/>
          <w:sz w:val="32"/>
          <w:szCs w:val="32"/>
        </w:rPr>
        <w:t>DoDAF</w:t>
      </w:r>
    </w:p>
    <w:p w14:paraId="40E5C0CC">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4922310B">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3FC05228">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501C963B">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73BC3D22">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7822A2E">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7798DEAE">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3EA3AD5A">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283E1E27">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2178A71">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0C270DCF">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5149824F">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0C18EED0">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338E5A6F">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73028FD">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0DA17BDB">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07194379">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F3E344C">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4069426B">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2125D19F">
      <w:pPr>
        <w:pStyle w:val="3"/>
      </w:pPr>
      <w:r>
        <w:t>2.</w:t>
      </w:r>
      <w:r>
        <w:rPr>
          <w:rFonts w:hint="eastAsia"/>
        </w:rPr>
        <w:t>软件开放式架构的优势（收益）</w:t>
      </w:r>
    </w:p>
    <w:p w14:paraId="42E796EE">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995FDF4">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1A3C5D26">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18CE36AD">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A144358">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36685F29">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5D1779B7">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68A548CE">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27E6F32F">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620C1E93">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05FDD8B4">
      <w:pPr>
        <w:pStyle w:val="3"/>
      </w:pPr>
      <w:r>
        <w:t>3.</w:t>
      </w:r>
      <w:r>
        <w:rPr>
          <w:rFonts w:hint="eastAsia"/>
        </w:rPr>
        <w:t>国内发展现状</w:t>
      </w:r>
    </w:p>
    <w:p w14:paraId="766F290F">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21872315">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8598F34">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7ED7AF07">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3362AA63">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6B2F61C4">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13C69930">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44EF7904">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3202593C">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1F2610EA">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1263AABE">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1499E450">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6ED887C2">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03DD0E3F">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52784899">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6B85FAE2">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0DF6A01F">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49698E04">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717A179A">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73E85B37">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340038F4">
      <w:pPr>
        <w:pStyle w:val="3"/>
      </w:pPr>
      <w:r>
        <w:t>4.</w:t>
      </w:r>
      <w:r>
        <w:rPr>
          <w:rFonts w:hint="eastAsia"/>
        </w:rPr>
        <w:t>如何构建机载软件开放式架构</w:t>
      </w:r>
    </w:p>
    <w:p w14:paraId="0795B8BE">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15DD0B2C">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5C0248A9">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5EAA65A4">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4A0A3425">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047F5B0B">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24D4622E">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02C7467F"/>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5BB01DF4"/>
    <w:multiLevelType w:val="singleLevel"/>
    <w:tmpl w:val="5BB01DF4"/>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C7C"/>
    <w:rsid w:val="00021D64"/>
    <w:rsid w:val="00023CF1"/>
    <w:rsid w:val="000305B7"/>
    <w:rsid w:val="00043271"/>
    <w:rsid w:val="00046E57"/>
    <w:rsid w:val="000522FC"/>
    <w:rsid w:val="00052D3E"/>
    <w:rsid w:val="00064CDB"/>
    <w:rsid w:val="000773FF"/>
    <w:rsid w:val="000811ED"/>
    <w:rsid w:val="000833D6"/>
    <w:rsid w:val="00090C2D"/>
    <w:rsid w:val="000A7B5F"/>
    <w:rsid w:val="000B3C6E"/>
    <w:rsid w:val="000C51A1"/>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12B5"/>
    <w:rsid w:val="002B54FC"/>
    <w:rsid w:val="002C341A"/>
    <w:rsid w:val="002C4B04"/>
    <w:rsid w:val="002D09A4"/>
    <w:rsid w:val="002D31CC"/>
    <w:rsid w:val="002D5224"/>
    <w:rsid w:val="002D6BBE"/>
    <w:rsid w:val="002E06A1"/>
    <w:rsid w:val="002E4305"/>
    <w:rsid w:val="002F1F74"/>
    <w:rsid w:val="003022A7"/>
    <w:rsid w:val="00317990"/>
    <w:rsid w:val="00323E20"/>
    <w:rsid w:val="003265C0"/>
    <w:rsid w:val="0034087F"/>
    <w:rsid w:val="0034129B"/>
    <w:rsid w:val="00352B53"/>
    <w:rsid w:val="003569D6"/>
    <w:rsid w:val="00356D9E"/>
    <w:rsid w:val="0036334F"/>
    <w:rsid w:val="00372249"/>
    <w:rsid w:val="003733E6"/>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0828"/>
    <w:rsid w:val="003F1A7C"/>
    <w:rsid w:val="003F566F"/>
    <w:rsid w:val="00404B56"/>
    <w:rsid w:val="004237C8"/>
    <w:rsid w:val="004247F1"/>
    <w:rsid w:val="004422EE"/>
    <w:rsid w:val="004451F7"/>
    <w:rsid w:val="00446848"/>
    <w:rsid w:val="00446B4D"/>
    <w:rsid w:val="00446FC1"/>
    <w:rsid w:val="004500AA"/>
    <w:rsid w:val="004578A1"/>
    <w:rsid w:val="00461EF7"/>
    <w:rsid w:val="00470CBB"/>
    <w:rsid w:val="00476D38"/>
    <w:rsid w:val="00483944"/>
    <w:rsid w:val="00486FB3"/>
    <w:rsid w:val="004904F9"/>
    <w:rsid w:val="0049161D"/>
    <w:rsid w:val="00494DFB"/>
    <w:rsid w:val="00495D67"/>
    <w:rsid w:val="004C07F9"/>
    <w:rsid w:val="004D05EE"/>
    <w:rsid w:val="004D0EF5"/>
    <w:rsid w:val="004D1426"/>
    <w:rsid w:val="004D3998"/>
    <w:rsid w:val="004D7ABE"/>
    <w:rsid w:val="004D7B91"/>
    <w:rsid w:val="004E0DD9"/>
    <w:rsid w:val="004F35CC"/>
    <w:rsid w:val="004F396C"/>
    <w:rsid w:val="005124A3"/>
    <w:rsid w:val="005176A8"/>
    <w:rsid w:val="00522083"/>
    <w:rsid w:val="00523156"/>
    <w:rsid w:val="00525D46"/>
    <w:rsid w:val="005418A1"/>
    <w:rsid w:val="00550D5F"/>
    <w:rsid w:val="00554501"/>
    <w:rsid w:val="0056310C"/>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C3E66"/>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7F16"/>
    <w:rsid w:val="00771597"/>
    <w:rsid w:val="00787E51"/>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6144"/>
    <w:rsid w:val="00885E6F"/>
    <w:rsid w:val="00893729"/>
    <w:rsid w:val="00894E19"/>
    <w:rsid w:val="00895A28"/>
    <w:rsid w:val="00895C46"/>
    <w:rsid w:val="008A592C"/>
    <w:rsid w:val="008B1C3F"/>
    <w:rsid w:val="008D6D80"/>
    <w:rsid w:val="008E14D0"/>
    <w:rsid w:val="008E2189"/>
    <w:rsid w:val="008E611E"/>
    <w:rsid w:val="008E6132"/>
    <w:rsid w:val="008E7232"/>
    <w:rsid w:val="008F03DC"/>
    <w:rsid w:val="008F7331"/>
    <w:rsid w:val="00901F94"/>
    <w:rsid w:val="00906E67"/>
    <w:rsid w:val="0091116B"/>
    <w:rsid w:val="009117DF"/>
    <w:rsid w:val="009135D8"/>
    <w:rsid w:val="0092028C"/>
    <w:rsid w:val="00920DAA"/>
    <w:rsid w:val="009241E4"/>
    <w:rsid w:val="00927C24"/>
    <w:rsid w:val="00934FDC"/>
    <w:rsid w:val="009360BA"/>
    <w:rsid w:val="00940759"/>
    <w:rsid w:val="00941A5D"/>
    <w:rsid w:val="009504FE"/>
    <w:rsid w:val="00950F74"/>
    <w:rsid w:val="009521F6"/>
    <w:rsid w:val="009559B9"/>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01290"/>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6B02"/>
    <w:rsid w:val="00B92472"/>
    <w:rsid w:val="00BA5757"/>
    <w:rsid w:val="00BB2ACA"/>
    <w:rsid w:val="00BC4989"/>
    <w:rsid w:val="00BD059F"/>
    <w:rsid w:val="00BD18AF"/>
    <w:rsid w:val="00BD21C7"/>
    <w:rsid w:val="00BD5063"/>
    <w:rsid w:val="00BD7EBE"/>
    <w:rsid w:val="00BE1231"/>
    <w:rsid w:val="00BE4F0F"/>
    <w:rsid w:val="00BF379E"/>
    <w:rsid w:val="00C17507"/>
    <w:rsid w:val="00C34F18"/>
    <w:rsid w:val="00C37DFF"/>
    <w:rsid w:val="00C423CB"/>
    <w:rsid w:val="00C43761"/>
    <w:rsid w:val="00C5056C"/>
    <w:rsid w:val="00C62558"/>
    <w:rsid w:val="00C755D5"/>
    <w:rsid w:val="00C81572"/>
    <w:rsid w:val="00C82AB7"/>
    <w:rsid w:val="00C94D83"/>
    <w:rsid w:val="00CD1BF0"/>
    <w:rsid w:val="00CD3354"/>
    <w:rsid w:val="00CD3C16"/>
    <w:rsid w:val="00CE2149"/>
    <w:rsid w:val="00CE2DB0"/>
    <w:rsid w:val="00CF4F0A"/>
    <w:rsid w:val="00D02793"/>
    <w:rsid w:val="00D05C6E"/>
    <w:rsid w:val="00D06666"/>
    <w:rsid w:val="00D140BF"/>
    <w:rsid w:val="00D23E77"/>
    <w:rsid w:val="00D27A98"/>
    <w:rsid w:val="00D466FE"/>
    <w:rsid w:val="00D525DC"/>
    <w:rsid w:val="00D56A46"/>
    <w:rsid w:val="00D70AF0"/>
    <w:rsid w:val="00D85318"/>
    <w:rsid w:val="00D91C41"/>
    <w:rsid w:val="00D91EC5"/>
    <w:rsid w:val="00D9661F"/>
    <w:rsid w:val="00DA52A1"/>
    <w:rsid w:val="00DB64FB"/>
    <w:rsid w:val="00DC1D5F"/>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A21E6"/>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541C"/>
    <w:rsid w:val="00F334B4"/>
    <w:rsid w:val="00F4040C"/>
    <w:rsid w:val="00F46873"/>
    <w:rsid w:val="00F53799"/>
    <w:rsid w:val="00F613EE"/>
    <w:rsid w:val="00F627F8"/>
    <w:rsid w:val="00F76C8A"/>
    <w:rsid w:val="00F84E99"/>
    <w:rsid w:val="00F85F8A"/>
    <w:rsid w:val="00F96983"/>
    <w:rsid w:val="00FA0344"/>
    <w:rsid w:val="00FB3820"/>
    <w:rsid w:val="00FB3C58"/>
    <w:rsid w:val="00FB66D6"/>
    <w:rsid w:val="00FB6DC1"/>
    <w:rsid w:val="00FB73EA"/>
    <w:rsid w:val="00FC51B3"/>
    <w:rsid w:val="00FD2F43"/>
    <w:rsid w:val="00FD3AC6"/>
    <w:rsid w:val="00FE0907"/>
    <w:rsid w:val="00FE44A9"/>
    <w:rsid w:val="010A0BCA"/>
    <w:rsid w:val="013D4B60"/>
    <w:rsid w:val="022C6982"/>
    <w:rsid w:val="0308499E"/>
    <w:rsid w:val="0334338E"/>
    <w:rsid w:val="03D06ACE"/>
    <w:rsid w:val="05276ABB"/>
    <w:rsid w:val="05302A72"/>
    <w:rsid w:val="05557F4F"/>
    <w:rsid w:val="055C132D"/>
    <w:rsid w:val="05A221EF"/>
    <w:rsid w:val="061E2BF1"/>
    <w:rsid w:val="062D0469"/>
    <w:rsid w:val="067A3BE0"/>
    <w:rsid w:val="06E4782C"/>
    <w:rsid w:val="06E637D5"/>
    <w:rsid w:val="071C7F9D"/>
    <w:rsid w:val="072355A3"/>
    <w:rsid w:val="08800364"/>
    <w:rsid w:val="0A9B6453"/>
    <w:rsid w:val="0ABB39F6"/>
    <w:rsid w:val="0B5965AB"/>
    <w:rsid w:val="0B626F71"/>
    <w:rsid w:val="0BB90867"/>
    <w:rsid w:val="0BBA2DB1"/>
    <w:rsid w:val="0C346B5F"/>
    <w:rsid w:val="0C74719F"/>
    <w:rsid w:val="0D6315C6"/>
    <w:rsid w:val="0DCE2DD6"/>
    <w:rsid w:val="0E1F12B2"/>
    <w:rsid w:val="0E277E7C"/>
    <w:rsid w:val="0E367A84"/>
    <w:rsid w:val="0E811E04"/>
    <w:rsid w:val="0E8C4A31"/>
    <w:rsid w:val="0EC324B8"/>
    <w:rsid w:val="0F056DF4"/>
    <w:rsid w:val="0F503323"/>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73619DD"/>
    <w:rsid w:val="178F59DB"/>
    <w:rsid w:val="17A95CA0"/>
    <w:rsid w:val="18106C0D"/>
    <w:rsid w:val="18CD4B53"/>
    <w:rsid w:val="190154D6"/>
    <w:rsid w:val="19517616"/>
    <w:rsid w:val="19FA7950"/>
    <w:rsid w:val="1A1A178C"/>
    <w:rsid w:val="1A9829AF"/>
    <w:rsid w:val="1B6E4929"/>
    <w:rsid w:val="1BD74BF6"/>
    <w:rsid w:val="1CF50AD0"/>
    <w:rsid w:val="1CFF0508"/>
    <w:rsid w:val="1EB37DB8"/>
    <w:rsid w:val="1ED26DE5"/>
    <w:rsid w:val="1FC658C9"/>
    <w:rsid w:val="20346CD6"/>
    <w:rsid w:val="20795265"/>
    <w:rsid w:val="208A107A"/>
    <w:rsid w:val="20D90DB6"/>
    <w:rsid w:val="20EF0E4F"/>
    <w:rsid w:val="21026DD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E93882"/>
    <w:rsid w:val="25EE3C7D"/>
    <w:rsid w:val="266E549A"/>
    <w:rsid w:val="271156B4"/>
    <w:rsid w:val="27A5681B"/>
    <w:rsid w:val="27D01FC1"/>
    <w:rsid w:val="280F1AE4"/>
    <w:rsid w:val="28844573"/>
    <w:rsid w:val="29F645D7"/>
    <w:rsid w:val="2A4A7831"/>
    <w:rsid w:val="2A570191"/>
    <w:rsid w:val="2AAD3A85"/>
    <w:rsid w:val="2AB42520"/>
    <w:rsid w:val="2AEF37E4"/>
    <w:rsid w:val="2B4E6D6B"/>
    <w:rsid w:val="2B797C93"/>
    <w:rsid w:val="2BBB474F"/>
    <w:rsid w:val="2DC74427"/>
    <w:rsid w:val="2DFE0184"/>
    <w:rsid w:val="2E3F45EA"/>
    <w:rsid w:val="2EB515FC"/>
    <w:rsid w:val="30524B50"/>
    <w:rsid w:val="30953F3A"/>
    <w:rsid w:val="30B05DF3"/>
    <w:rsid w:val="31D03335"/>
    <w:rsid w:val="32904380"/>
    <w:rsid w:val="32C82924"/>
    <w:rsid w:val="338611ED"/>
    <w:rsid w:val="33CE11E3"/>
    <w:rsid w:val="34620BF5"/>
    <w:rsid w:val="3536335A"/>
    <w:rsid w:val="355F614C"/>
    <w:rsid w:val="35BE4538"/>
    <w:rsid w:val="35BF1135"/>
    <w:rsid w:val="36FE6530"/>
    <w:rsid w:val="376B0134"/>
    <w:rsid w:val="37EA0A8C"/>
    <w:rsid w:val="37FC2752"/>
    <w:rsid w:val="380B25BB"/>
    <w:rsid w:val="38666929"/>
    <w:rsid w:val="39440C04"/>
    <w:rsid w:val="39D52BB0"/>
    <w:rsid w:val="3A6A64A9"/>
    <w:rsid w:val="3A9B7E58"/>
    <w:rsid w:val="3AB24F6F"/>
    <w:rsid w:val="3AE55345"/>
    <w:rsid w:val="3AF94DFB"/>
    <w:rsid w:val="3AFF327C"/>
    <w:rsid w:val="3B191766"/>
    <w:rsid w:val="3B56112E"/>
    <w:rsid w:val="3BED2703"/>
    <w:rsid w:val="3BF71AF1"/>
    <w:rsid w:val="3CD83D46"/>
    <w:rsid w:val="3D015D3A"/>
    <w:rsid w:val="3DC70D32"/>
    <w:rsid w:val="3E557A55"/>
    <w:rsid w:val="3EFE6E2C"/>
    <w:rsid w:val="3F397DD7"/>
    <w:rsid w:val="3F7F6D57"/>
    <w:rsid w:val="40556AC9"/>
    <w:rsid w:val="43505BFE"/>
    <w:rsid w:val="435260C8"/>
    <w:rsid w:val="436513E9"/>
    <w:rsid w:val="4556030B"/>
    <w:rsid w:val="459833DA"/>
    <w:rsid w:val="46467FBF"/>
    <w:rsid w:val="46B70A7C"/>
    <w:rsid w:val="46DF533E"/>
    <w:rsid w:val="46F86E5F"/>
    <w:rsid w:val="479C322F"/>
    <w:rsid w:val="47F92CE6"/>
    <w:rsid w:val="48177DA3"/>
    <w:rsid w:val="486F19CC"/>
    <w:rsid w:val="488E0AD9"/>
    <w:rsid w:val="48E0468F"/>
    <w:rsid w:val="498D3CB3"/>
    <w:rsid w:val="4A3006A0"/>
    <w:rsid w:val="4A4E10EE"/>
    <w:rsid w:val="4B005FA2"/>
    <w:rsid w:val="4B6A2461"/>
    <w:rsid w:val="4B863275"/>
    <w:rsid w:val="4E950B10"/>
    <w:rsid w:val="4E9A4C44"/>
    <w:rsid w:val="4F0B1050"/>
    <w:rsid w:val="4FFE0236"/>
    <w:rsid w:val="502E4997"/>
    <w:rsid w:val="514B3CFC"/>
    <w:rsid w:val="52082D61"/>
    <w:rsid w:val="52E2601C"/>
    <w:rsid w:val="52F777D3"/>
    <w:rsid w:val="5329428A"/>
    <w:rsid w:val="534C56B2"/>
    <w:rsid w:val="53AE41C7"/>
    <w:rsid w:val="541779B7"/>
    <w:rsid w:val="54A51975"/>
    <w:rsid w:val="54AD6A7C"/>
    <w:rsid w:val="54CD4F10"/>
    <w:rsid w:val="54F05B80"/>
    <w:rsid w:val="5558352D"/>
    <w:rsid w:val="5621502B"/>
    <w:rsid w:val="565C766C"/>
    <w:rsid w:val="567C1E40"/>
    <w:rsid w:val="570A09FF"/>
    <w:rsid w:val="57146841"/>
    <w:rsid w:val="57FE314A"/>
    <w:rsid w:val="58BD7104"/>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9355AC"/>
    <w:rsid w:val="60B00E2F"/>
    <w:rsid w:val="614B5652"/>
    <w:rsid w:val="61E40988"/>
    <w:rsid w:val="62292C8A"/>
    <w:rsid w:val="639F57E1"/>
    <w:rsid w:val="63B87F15"/>
    <w:rsid w:val="63E1523C"/>
    <w:rsid w:val="643D7808"/>
    <w:rsid w:val="647C11B0"/>
    <w:rsid w:val="647F4CAC"/>
    <w:rsid w:val="64D8291C"/>
    <w:rsid w:val="65021EB3"/>
    <w:rsid w:val="66240220"/>
    <w:rsid w:val="663A4893"/>
    <w:rsid w:val="66DA76CA"/>
    <w:rsid w:val="672A3F5C"/>
    <w:rsid w:val="67386A18"/>
    <w:rsid w:val="674344A0"/>
    <w:rsid w:val="67C35F6E"/>
    <w:rsid w:val="68150152"/>
    <w:rsid w:val="68B711D9"/>
    <w:rsid w:val="68FB4006"/>
    <w:rsid w:val="69A3007B"/>
    <w:rsid w:val="6A305DA7"/>
    <w:rsid w:val="6AB240BD"/>
    <w:rsid w:val="6B73185A"/>
    <w:rsid w:val="6C5F4979"/>
    <w:rsid w:val="6CE261B7"/>
    <w:rsid w:val="6FD44A65"/>
    <w:rsid w:val="702E2F9A"/>
    <w:rsid w:val="70765B1C"/>
    <w:rsid w:val="70EE0C27"/>
    <w:rsid w:val="72E651DB"/>
    <w:rsid w:val="73C73CC1"/>
    <w:rsid w:val="743B1D01"/>
    <w:rsid w:val="74D9062F"/>
    <w:rsid w:val="76486289"/>
    <w:rsid w:val="7652268D"/>
    <w:rsid w:val="768E239C"/>
    <w:rsid w:val="78D91E2E"/>
    <w:rsid w:val="792855D4"/>
    <w:rsid w:val="794F1893"/>
    <w:rsid w:val="79D01140"/>
    <w:rsid w:val="7A427F5D"/>
    <w:rsid w:val="7A905722"/>
    <w:rsid w:val="7B24593F"/>
    <w:rsid w:val="7B803453"/>
    <w:rsid w:val="7BB874EA"/>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character" w:customStyle="1" w:styleId="12">
    <w:name w:val="标题 1 字符"/>
    <w:basedOn w:val="8"/>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8"/>
    <w:link w:val="3"/>
    <w:qFormat/>
    <w:uiPriority w:val="0"/>
    <w:rPr>
      <w:rFonts w:ascii="Times New Roman" w:hAnsi="Times New Roman" w:eastAsia="黑体" w:cs="Times New Roman"/>
      <w:b/>
      <w:bCs/>
      <w:kern w:val="0"/>
      <w:sz w:val="32"/>
      <w:szCs w:val="32"/>
    </w:rPr>
  </w:style>
  <w:style w:type="character" w:customStyle="1" w:styleId="14">
    <w:name w:val="未处理的提及1"/>
    <w:basedOn w:val="8"/>
    <w:semiHidden/>
    <w:unhideWhenUsed/>
    <w:qFormat/>
    <w:uiPriority w:val="99"/>
    <w:rPr>
      <w:color w:val="605E5C"/>
      <w:shd w:val="clear" w:color="auto" w:fill="E1DFDD"/>
    </w:rPr>
  </w:style>
  <w:style w:type="character" w:customStyle="1" w:styleId="15">
    <w:name w:val="field-content"/>
    <w:basedOn w:val="8"/>
    <w:qFormat/>
    <w:uiPriority w:val="0"/>
  </w:style>
  <w:style w:type="character" w:customStyle="1" w:styleId="16">
    <w:name w:val="fontstyle01"/>
    <w:basedOn w:val="8"/>
    <w:qFormat/>
    <w:uiPriority w:val="0"/>
    <w:rPr>
      <w:rFonts w:hint="default" w:ascii="TimesNewRomanPS-BoldMT" w:hAnsi="TimesNewRomanPS-BoldMT"/>
      <w:b/>
      <w:bCs/>
      <w:color w:val="000000"/>
      <w:sz w:val="40"/>
      <w:szCs w:val="40"/>
    </w:rPr>
  </w:style>
  <w:style w:type="character" w:customStyle="1" w:styleId="17">
    <w:name w:val="标题 3 字符"/>
    <w:basedOn w:val="8"/>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11681</Words>
  <Characters>18770</Characters>
  <Lines>142</Lines>
  <Paragraphs>40</Paragraphs>
  <TotalTime>19</TotalTime>
  <ScaleCrop>false</ScaleCrop>
  <LinksUpToDate>false</LinksUpToDate>
  <CharactersWithSpaces>19603</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钱成铭</cp:lastModifiedBy>
  <cp:lastPrinted>2025-10-14T17:00:00Z</cp:lastPrinted>
  <dcterms:modified xsi:type="dcterms:W3CDTF">2025-10-16T03:53:21Z</dcterms:modified>
  <cp:revision>452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