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8D48D0">
      <w:pPr>
        <w:pStyle w:val="2"/>
        <w:spacing w:before="312" w:after="249"/>
      </w:pPr>
      <w:r>
        <w:rPr>
          <w:rFonts w:hint="eastAsia"/>
        </w:rPr>
        <w:t>（软件）开放式架构阶段性学习报告</w:t>
      </w:r>
    </w:p>
    <w:p w14:paraId="7B2F22E9">
      <w:pPr>
        <w:pStyle w:val="3"/>
        <w:numPr>
          <w:ilvl w:val="0"/>
          <w:numId w:val="1"/>
        </w:numPr>
      </w:pPr>
      <w:r>
        <w:rPr>
          <w:rFonts w:hint="eastAsia"/>
        </w:rPr>
        <w:t>当前学习思路与进度</w:t>
      </w:r>
    </w:p>
    <w:p w14:paraId="5A5B2C32">
      <w:pPr>
        <w:pStyle w:val="3"/>
        <w:numPr>
          <w:ilvl w:val="0"/>
          <w:numId w:val="1"/>
        </w:numPr>
      </w:pPr>
      <w:r>
        <w:rPr>
          <w:rFonts w:hint="eastAsia"/>
        </w:rPr>
        <w:t>软件开放式架构的定义</w:t>
      </w:r>
    </w:p>
    <w:p w14:paraId="76BB5533">
      <w:pPr>
        <w:spacing w:line="300" w:lineRule="auto"/>
        <w:ind w:firstLine="480" w:firstLineChars="200"/>
        <w:rPr>
          <w:rFonts w:ascii="仿宋" w:hAnsi="仿宋" w:eastAsia="仿宋" w:cs="仿宋"/>
        </w:rPr>
      </w:pPr>
      <w:r>
        <w:rPr>
          <w:rFonts w:hint="eastAsia" w:ascii="仿宋" w:hAnsi="仿宋" w:eastAsia="仿宋" w:cs="仿宋"/>
        </w:rPr>
        <w:t>未找到软件开放式架构具体定义。推测其来自于开放架构、开放系统架构等相似概念，可从相似概念（开放架构、开放式架构等）的定义和相关具体实践（FACE）中理解其内涵。</w:t>
      </w:r>
    </w:p>
    <w:p w14:paraId="0BC079F8">
      <w:pPr>
        <w:spacing w:line="300" w:lineRule="auto"/>
        <w:ind w:firstLine="480" w:firstLineChars="200"/>
        <w:rPr>
          <w:rFonts w:ascii="仿宋" w:hAnsi="仿宋" w:eastAsia="仿宋" w:cs="仿宋"/>
        </w:rPr>
      </w:pPr>
      <w:r>
        <w:rPr>
          <w:rFonts w:hint="eastAsia" w:ascii="仿宋" w:hAnsi="仿宋" w:eastAsia="仿宋" w:cs="仿宋"/>
        </w:rPr>
        <w:t>维基百科上找到了“开放软件架构”，但定义不够权威。了解了相似定义包括：架构（Architecture）、开放架构（Open Architecture）、开放系统架构（Open System Architecture）、开放系统（Open system）、开放标准（Open Standards）、模块化开放系统方法（Modular Open System Approach，MOSA）。</w:t>
      </w:r>
    </w:p>
    <w:p w14:paraId="7213DD0F">
      <w:pPr>
        <w:spacing w:line="300" w:lineRule="auto"/>
        <w:ind w:firstLine="480" w:firstLineChars="200"/>
        <w:rPr>
          <w:rFonts w:ascii="仿宋" w:hAnsi="仿宋" w:eastAsia="仿宋" w:cs="仿宋"/>
        </w:rPr>
      </w:pPr>
      <w:r>
        <w:rPr>
          <w:rFonts w:hint="eastAsia" w:ascii="仿宋" w:hAnsi="仿宋" w:eastAsia="仿宋" w:cs="仿宋"/>
        </w:rPr>
        <w:t>了解到了MOSA的相关实践中，FACE是主要面向软件领域的，其所推行的架构可能更符合我们所提的“软件开放式架构”，对于FACE的学习有待继续深化总结，故此次先看相似定义。</w:t>
      </w:r>
    </w:p>
    <w:p w14:paraId="29B6154D">
      <w:pPr>
        <w:pStyle w:val="4"/>
        <w:rPr>
          <w:rFonts w:hint="eastAsia"/>
        </w:rPr>
      </w:pPr>
      <w:r>
        <w:rPr>
          <w:rFonts w:hint="eastAsia"/>
        </w:rPr>
        <w:t>2.1相似定义：</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9"/>
        <w:gridCol w:w="5711"/>
        <w:gridCol w:w="1502"/>
      </w:tblGrid>
      <w:tr w14:paraId="4660BF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4D4A9459">
            <w:pPr>
              <w:jc w:val="center"/>
              <w:rPr>
                <w:sz w:val="21"/>
                <w:szCs w:val="21"/>
              </w:rPr>
            </w:pPr>
            <w:r>
              <w:rPr>
                <w:rFonts w:hint="eastAsia"/>
                <w:sz w:val="21"/>
                <w:szCs w:val="21"/>
              </w:rPr>
              <w:t>名称</w:t>
            </w:r>
          </w:p>
        </w:tc>
        <w:tc>
          <w:tcPr>
            <w:tcW w:w="5711" w:type="dxa"/>
            <w:vAlign w:val="center"/>
          </w:tcPr>
          <w:p w14:paraId="412A04A8">
            <w:pPr>
              <w:jc w:val="center"/>
              <w:rPr>
                <w:sz w:val="21"/>
                <w:szCs w:val="21"/>
              </w:rPr>
            </w:pPr>
            <w:r>
              <w:rPr>
                <w:rFonts w:hint="eastAsia"/>
                <w:sz w:val="21"/>
                <w:szCs w:val="21"/>
              </w:rPr>
              <w:t>定义</w:t>
            </w:r>
          </w:p>
        </w:tc>
        <w:tc>
          <w:tcPr>
            <w:tcW w:w="1502" w:type="dxa"/>
            <w:vAlign w:val="center"/>
          </w:tcPr>
          <w:p w14:paraId="04017135">
            <w:pPr>
              <w:jc w:val="center"/>
              <w:rPr>
                <w:sz w:val="21"/>
                <w:szCs w:val="21"/>
              </w:rPr>
            </w:pPr>
            <w:r>
              <w:rPr>
                <w:rFonts w:hint="eastAsia"/>
                <w:sz w:val="21"/>
                <w:szCs w:val="21"/>
              </w:rPr>
              <w:t>来源</w:t>
            </w:r>
          </w:p>
        </w:tc>
      </w:tr>
      <w:tr w14:paraId="738D9F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245C66C1">
            <w:pPr>
              <w:rPr>
                <w:sz w:val="21"/>
                <w:szCs w:val="21"/>
              </w:rPr>
            </w:pPr>
            <w:r>
              <w:rPr>
                <w:rFonts w:hint="eastAsia"/>
                <w:sz w:val="21"/>
                <w:szCs w:val="21"/>
              </w:rPr>
              <w:t>Open Architecture</w:t>
            </w:r>
          </w:p>
          <w:p w14:paraId="07DEB263">
            <w:pPr>
              <w:rPr>
                <w:sz w:val="21"/>
                <w:szCs w:val="21"/>
              </w:rPr>
            </w:pPr>
            <w:r>
              <w:rPr>
                <w:rFonts w:hint="eastAsia"/>
                <w:sz w:val="21"/>
                <w:szCs w:val="21"/>
              </w:rPr>
              <w:t>(开放架构)</w:t>
            </w:r>
          </w:p>
        </w:tc>
        <w:tc>
          <w:tcPr>
            <w:tcW w:w="5711" w:type="dxa"/>
            <w:vAlign w:val="center"/>
          </w:tcPr>
          <w:p w14:paraId="056E4341">
            <w:pPr>
              <w:rPr>
                <w:sz w:val="21"/>
                <w:szCs w:val="21"/>
              </w:rPr>
            </w:pPr>
            <w:r>
              <w:rPr>
                <w:sz w:val="21"/>
                <w:szCs w:val="21"/>
              </w:rPr>
              <w:t>A technical architecture that adopts open standards supporting a modular, loosely coupled and highly cohesive system structure that includes publishing of key interfaces within the system and full design disclosure.</w:t>
            </w:r>
          </w:p>
          <w:p w14:paraId="7216CC6F">
            <w:pPr>
              <w:rPr>
                <w:sz w:val="21"/>
                <w:szCs w:val="21"/>
              </w:rPr>
            </w:pPr>
            <w:r>
              <w:rPr>
                <w:rFonts w:hint="eastAsia"/>
                <w:sz w:val="21"/>
                <w:szCs w:val="21"/>
              </w:rPr>
              <w:t>翻译：一种采用开放标准的技术架构，支持模块化、松耦合和高度内聚的系统结构，包括系统内关键接口的发布和完整的设计披露。</w:t>
            </w:r>
          </w:p>
        </w:tc>
        <w:tc>
          <w:tcPr>
            <w:tcW w:w="1502" w:type="dxa"/>
            <w:vAlign w:val="center"/>
          </w:tcPr>
          <w:p w14:paraId="6FADA486">
            <w:pPr>
              <w:adjustRightInd w:val="0"/>
              <w:snapToGrid w:val="0"/>
              <w:spacing w:line="560" w:lineRule="exact"/>
              <w:rPr>
                <w:sz w:val="21"/>
                <w:szCs w:val="21"/>
              </w:rPr>
            </w:pPr>
            <w:r>
              <w:rPr>
                <w:rFonts w:hint="eastAsia"/>
                <w:sz w:val="21"/>
                <w:szCs w:val="21"/>
              </w:rPr>
              <w:t>DAU/glossary</w:t>
            </w:r>
          </w:p>
        </w:tc>
      </w:tr>
      <w:tr w14:paraId="038805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1B3047E3">
            <w:pPr>
              <w:rPr>
                <w:sz w:val="21"/>
                <w:szCs w:val="21"/>
              </w:rPr>
            </w:pPr>
            <w:r>
              <w:rPr>
                <w:sz w:val="21"/>
                <w:szCs w:val="21"/>
              </w:rPr>
              <w:t>Open Standards</w:t>
            </w:r>
          </w:p>
          <w:p w14:paraId="264295D3">
            <w:pPr>
              <w:rPr>
                <w:sz w:val="21"/>
                <w:szCs w:val="21"/>
              </w:rPr>
            </w:pPr>
            <w:r>
              <w:rPr>
                <w:rFonts w:hint="eastAsia"/>
                <w:sz w:val="21"/>
                <w:szCs w:val="21"/>
              </w:rPr>
              <w:t>(开放标准)</w:t>
            </w:r>
          </w:p>
        </w:tc>
        <w:tc>
          <w:tcPr>
            <w:tcW w:w="5711" w:type="dxa"/>
            <w:vAlign w:val="center"/>
          </w:tcPr>
          <w:p w14:paraId="637A88A1">
            <w:pPr>
              <w:rPr>
                <w:sz w:val="21"/>
                <w:szCs w:val="21"/>
              </w:rPr>
            </w:pPr>
            <w:r>
              <w:rPr>
                <w:sz w:val="21"/>
                <w:szCs w:val="21"/>
              </w:rPr>
              <w:t>Widely accepted and supported standards set by recognized standards organizations or the marketplace. These standards support interoperability, portability, and scalability and are equally available to the public at no cost or with a moderate license fee.</w:t>
            </w:r>
            <w:r>
              <w:rPr>
                <w:sz w:val="21"/>
                <w:szCs w:val="21"/>
              </w:rPr>
              <w:br w:type="textWrapping"/>
            </w:r>
            <w:r>
              <w:rPr>
                <w:rFonts w:hint="eastAsia"/>
                <w:sz w:val="21"/>
                <w:szCs w:val="21"/>
              </w:rPr>
              <w:t>翻译：由公认标准组织或市场制定的、获得广泛接受与支持的标准。这些标准支持互操作性、可移植性与可扩展性，并可通过免费或适度许可费的方式平等地向公众开放。</w:t>
            </w:r>
          </w:p>
        </w:tc>
        <w:tc>
          <w:tcPr>
            <w:tcW w:w="1502" w:type="dxa"/>
            <w:vAlign w:val="center"/>
          </w:tcPr>
          <w:p w14:paraId="6ED8858B">
            <w:pPr>
              <w:adjustRightInd w:val="0"/>
              <w:snapToGrid w:val="0"/>
              <w:spacing w:line="560" w:lineRule="exact"/>
              <w:rPr>
                <w:sz w:val="21"/>
                <w:szCs w:val="21"/>
              </w:rPr>
            </w:pPr>
            <w:r>
              <w:rPr>
                <w:rFonts w:hint="eastAsia"/>
                <w:sz w:val="21"/>
                <w:szCs w:val="21"/>
              </w:rPr>
              <w:t>DAU/glossary</w:t>
            </w:r>
          </w:p>
        </w:tc>
      </w:tr>
      <w:tr w14:paraId="24CFA4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14442D71">
            <w:pPr>
              <w:rPr>
                <w:sz w:val="21"/>
                <w:szCs w:val="21"/>
              </w:rPr>
            </w:pPr>
            <w:r>
              <w:rPr>
                <w:rFonts w:hint="eastAsia"/>
                <w:sz w:val="21"/>
                <w:szCs w:val="21"/>
              </w:rPr>
              <w:t>Open System</w:t>
            </w:r>
          </w:p>
          <w:p w14:paraId="1690068B">
            <w:pPr>
              <w:rPr>
                <w:sz w:val="21"/>
                <w:szCs w:val="21"/>
              </w:rPr>
            </w:pPr>
            <w:r>
              <w:rPr>
                <w:rFonts w:hint="eastAsia"/>
                <w:sz w:val="21"/>
                <w:szCs w:val="21"/>
              </w:rPr>
              <w:t>(开放系统)</w:t>
            </w:r>
          </w:p>
        </w:tc>
        <w:tc>
          <w:tcPr>
            <w:tcW w:w="5711" w:type="dxa"/>
            <w:vAlign w:val="center"/>
          </w:tcPr>
          <w:p w14:paraId="2E57C8B5">
            <w:pPr>
              <w:rPr>
                <w:sz w:val="21"/>
                <w:szCs w:val="21"/>
              </w:rPr>
            </w:pPr>
            <w:r>
              <w:rPr>
                <w:sz w:val="21"/>
                <w:szCs w:val="21"/>
              </w:rPr>
              <w:t>A system whose technical architecture adopts open standards and supports a modular, loosely coupled, and highly cohesive system structure. This modular open architecture includes publishing of key interfaces within the system and relevant design disclosure.</w:t>
            </w:r>
          </w:p>
          <w:p w14:paraId="78BB82CB">
            <w:pPr>
              <w:rPr>
                <w:sz w:val="21"/>
                <w:szCs w:val="21"/>
              </w:rPr>
            </w:pPr>
            <w:r>
              <w:rPr>
                <w:rFonts w:hint="eastAsia"/>
                <w:sz w:val="21"/>
                <w:szCs w:val="21"/>
              </w:rPr>
              <w:t>翻译：</w:t>
            </w:r>
            <w:r>
              <w:rPr>
                <w:sz w:val="21"/>
                <w:szCs w:val="21"/>
              </w:rPr>
              <w:t>一种技术架构采用开放标准，并支持模块化、松耦合和高内聚的系统结构的系统。该模块化开放架构包括发布系统内的关键接口和相关设计披露。</w:t>
            </w:r>
          </w:p>
        </w:tc>
        <w:tc>
          <w:tcPr>
            <w:tcW w:w="1502" w:type="dxa"/>
            <w:vAlign w:val="center"/>
          </w:tcPr>
          <w:p w14:paraId="4C95AB0B">
            <w:pPr>
              <w:adjustRightInd w:val="0"/>
              <w:snapToGrid w:val="0"/>
              <w:spacing w:line="560" w:lineRule="exact"/>
              <w:rPr>
                <w:sz w:val="21"/>
                <w:szCs w:val="21"/>
              </w:rPr>
            </w:pPr>
            <w:r>
              <w:rPr>
                <w:rFonts w:hint="eastAsia"/>
                <w:sz w:val="21"/>
                <w:szCs w:val="21"/>
              </w:rPr>
              <w:t>DAU/glossary</w:t>
            </w:r>
          </w:p>
        </w:tc>
      </w:tr>
      <w:tr w14:paraId="126DFA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4CDC401A">
            <w:pPr>
              <w:rPr>
                <w:sz w:val="21"/>
                <w:szCs w:val="21"/>
              </w:rPr>
            </w:pPr>
            <w:r>
              <w:rPr>
                <w:sz w:val="21"/>
                <w:szCs w:val="21"/>
              </w:rPr>
              <w:t>Open Systems Architecture(OSA)</w:t>
            </w:r>
            <w:r>
              <w:rPr>
                <w:sz w:val="21"/>
                <w:szCs w:val="21"/>
              </w:rPr>
              <w:br w:type="textWrapping"/>
            </w:r>
            <w:r>
              <w:rPr>
                <w:rFonts w:hint="eastAsia"/>
                <w:sz w:val="21"/>
                <w:szCs w:val="21"/>
              </w:rPr>
              <w:t>(开放系统架构)</w:t>
            </w:r>
          </w:p>
        </w:tc>
        <w:tc>
          <w:tcPr>
            <w:tcW w:w="5711" w:type="dxa"/>
            <w:vAlign w:val="center"/>
          </w:tcPr>
          <w:p w14:paraId="38940907">
            <w:pPr>
              <w:rPr>
                <w:sz w:val="21"/>
                <w:szCs w:val="21"/>
              </w:rPr>
            </w:pPr>
            <w:r>
              <w:rPr>
                <w:sz w:val="21"/>
                <w:szCs w:val="21"/>
              </w:rPr>
              <w:t>A characteristic of a system which uses a technical architecture that adopts consensus based standards supporting a modular, loosely coupled, and highly cohesive system structure that includes the publishing of key interfaces within the system and relevant design disclosure.</w:t>
            </w:r>
          </w:p>
          <w:p w14:paraId="222B1462">
            <w:pPr>
              <w:rPr>
                <w:sz w:val="21"/>
                <w:szCs w:val="21"/>
              </w:rPr>
            </w:pPr>
            <w:r>
              <w:rPr>
                <w:rFonts w:hint="eastAsia"/>
                <w:sz w:val="21"/>
                <w:szCs w:val="21"/>
              </w:rPr>
              <w:t>翻译：一种系统的特征，它采用基于共识的标准，支持模块化、松耦合和高内聚的系统结构，包括在系统内发布关键接口和相关设计披露。</w:t>
            </w:r>
          </w:p>
        </w:tc>
        <w:tc>
          <w:tcPr>
            <w:tcW w:w="1502" w:type="dxa"/>
            <w:vAlign w:val="center"/>
          </w:tcPr>
          <w:p w14:paraId="69B9A7F9">
            <w:pPr>
              <w:adjustRightInd w:val="0"/>
              <w:snapToGrid w:val="0"/>
              <w:spacing w:line="560" w:lineRule="exact"/>
              <w:rPr>
                <w:sz w:val="21"/>
                <w:szCs w:val="21"/>
              </w:rPr>
            </w:pPr>
            <w:r>
              <w:rPr>
                <w:rFonts w:hint="eastAsia"/>
                <w:sz w:val="21"/>
                <w:szCs w:val="21"/>
              </w:rPr>
              <w:t>DAU/glossary</w:t>
            </w:r>
          </w:p>
        </w:tc>
      </w:tr>
      <w:tr w14:paraId="59119B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202B7644">
            <w:pPr>
              <w:rPr>
                <w:rFonts w:hint="eastAsia"/>
                <w:sz w:val="21"/>
                <w:szCs w:val="21"/>
                <w:lang w:val="en-US" w:eastAsia="zh-CN"/>
              </w:rPr>
            </w:pPr>
            <w:r>
              <w:rPr>
                <w:rFonts w:hint="eastAsia"/>
                <w:sz w:val="21"/>
                <w:szCs w:val="21"/>
              </w:rPr>
              <w:t>O</w:t>
            </w:r>
            <w:r>
              <w:rPr>
                <w:rFonts w:hint="eastAsia"/>
                <w:sz w:val="21"/>
                <w:szCs w:val="21"/>
                <w:lang w:val="en-US" w:eastAsia="zh-CN"/>
              </w:rPr>
              <w:t xml:space="preserve">pen </w:t>
            </w:r>
            <w:r>
              <w:rPr>
                <w:rFonts w:hint="eastAsia"/>
                <w:sz w:val="21"/>
                <w:szCs w:val="21"/>
              </w:rPr>
              <w:t>S</w:t>
            </w:r>
            <w:r>
              <w:rPr>
                <w:rFonts w:hint="eastAsia"/>
                <w:sz w:val="21"/>
                <w:szCs w:val="21"/>
                <w:lang w:val="en-US" w:eastAsia="zh-CN"/>
              </w:rPr>
              <w:t xml:space="preserve">ystem </w:t>
            </w:r>
            <w:r>
              <w:rPr>
                <w:rFonts w:hint="eastAsia"/>
                <w:sz w:val="21"/>
                <w:szCs w:val="21"/>
              </w:rPr>
              <w:t>A</w:t>
            </w:r>
            <w:r>
              <w:rPr>
                <w:rFonts w:hint="eastAsia"/>
                <w:sz w:val="21"/>
                <w:szCs w:val="21"/>
                <w:lang w:val="en-US" w:eastAsia="zh-CN"/>
              </w:rPr>
              <w:t>rchitecture</w:t>
            </w:r>
          </w:p>
          <w:p w14:paraId="699EE76F">
            <w:pPr>
              <w:rPr>
                <w:rFonts w:hint="default"/>
                <w:sz w:val="21"/>
                <w:szCs w:val="21"/>
                <w:lang w:val="en-US" w:eastAsia="zh-CN"/>
              </w:rPr>
            </w:pPr>
            <w:r>
              <w:rPr>
                <w:rFonts w:hint="eastAsia"/>
                <w:sz w:val="21"/>
                <w:szCs w:val="21"/>
                <w:lang w:val="en-US" w:eastAsia="zh-CN"/>
              </w:rPr>
              <w:t>开放系统架构</w:t>
            </w:r>
          </w:p>
        </w:tc>
        <w:tc>
          <w:tcPr>
            <w:tcW w:w="5711" w:type="dxa"/>
            <w:vAlign w:val="center"/>
          </w:tcPr>
          <w:p w14:paraId="3E64E16D">
            <w:pPr>
              <w:adjustRightInd w:val="0"/>
              <w:snapToGrid w:val="0"/>
              <w:rPr>
                <w:sz w:val="21"/>
                <w:szCs w:val="21"/>
              </w:rPr>
            </w:pPr>
            <w:r>
              <w:rPr>
                <w:sz w:val="21"/>
                <w:szCs w:val="21"/>
              </w:rPr>
              <w:t>Open System Architecture. A logical,physical structure implemented via well defined, widely used, publiciy-maintained, non-proprietary specifications for interfaces, services, and supporting formats to accomplish system functionaliy, thereby enabling the use of properly engineered components across a wide range of systems with minimai changes.</w:t>
            </w:r>
            <w:r>
              <w:rPr>
                <w:rFonts w:hint="eastAsia"/>
                <w:sz w:val="21"/>
                <w:szCs w:val="21"/>
              </w:rPr>
              <w:t>（MIL</w:t>
            </w:r>
            <w:r>
              <w:rPr>
                <w:sz w:val="21"/>
                <w:szCs w:val="21"/>
              </w:rPr>
              <w:t>-</w:t>
            </w:r>
            <w:r>
              <w:rPr>
                <w:rFonts w:hint="eastAsia"/>
                <w:sz w:val="21"/>
                <w:szCs w:val="21"/>
              </w:rPr>
              <w:t>STD</w:t>
            </w:r>
            <w:r>
              <w:rPr>
                <w:sz w:val="21"/>
                <w:szCs w:val="21"/>
              </w:rPr>
              <w:t>-499</w:t>
            </w:r>
            <w:r>
              <w:rPr>
                <w:rFonts w:hint="eastAsia"/>
                <w:sz w:val="21"/>
                <w:szCs w:val="21"/>
              </w:rPr>
              <w:t>B）</w:t>
            </w:r>
          </w:p>
          <w:p w14:paraId="3F28DA74">
            <w:pPr>
              <w:rPr>
                <w:sz w:val="21"/>
                <w:szCs w:val="21"/>
              </w:rPr>
            </w:pPr>
            <w:r>
              <w:rPr>
                <w:rFonts w:hint="eastAsia"/>
                <w:sz w:val="21"/>
                <w:szCs w:val="21"/>
              </w:rPr>
              <w:t>翻译：开放系统架构指一种逻辑与物理结构，该结构通过定义明确、应用广泛、公开维护且非专有化的接口、服务及支持格式规范实现系统功能，从而能够在各类系统中使用经过适当工程设计的组件，且仅需进行最少改动。</w:t>
            </w:r>
          </w:p>
        </w:tc>
        <w:tc>
          <w:tcPr>
            <w:tcW w:w="1502" w:type="dxa"/>
            <w:vAlign w:val="center"/>
          </w:tcPr>
          <w:p w14:paraId="1D517566">
            <w:pPr>
              <w:adjustRightInd w:val="0"/>
              <w:snapToGrid w:val="0"/>
              <w:spacing w:line="560" w:lineRule="exact"/>
              <w:rPr>
                <w:rFonts w:hint="eastAsia" w:eastAsia="宋体"/>
                <w:sz w:val="21"/>
                <w:szCs w:val="21"/>
                <w:lang w:eastAsia="zh-CN"/>
              </w:rPr>
            </w:pPr>
            <w:r>
              <w:rPr>
                <w:rFonts w:hint="eastAsia"/>
                <w:sz w:val="21"/>
                <w:szCs w:val="21"/>
              </w:rPr>
              <w:t>MIL-STD-499B</w:t>
            </w:r>
          </w:p>
        </w:tc>
      </w:tr>
      <w:tr w14:paraId="1A1E87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13762920">
            <w:pPr>
              <w:rPr>
                <w:sz w:val="21"/>
                <w:szCs w:val="21"/>
              </w:rPr>
            </w:pPr>
            <w:r>
              <w:rPr>
                <w:sz w:val="21"/>
                <w:szCs w:val="21"/>
              </w:rPr>
              <w:t>Modular Open Systems Approach</w:t>
            </w:r>
            <w:r>
              <w:rPr>
                <w:rFonts w:hint="eastAsia"/>
                <w:sz w:val="21"/>
                <w:szCs w:val="21"/>
              </w:rPr>
              <w:t>(MOSA)</w:t>
            </w:r>
          </w:p>
          <w:p w14:paraId="37147D94">
            <w:pPr>
              <w:rPr>
                <w:sz w:val="21"/>
                <w:szCs w:val="21"/>
              </w:rPr>
            </w:pPr>
            <w:r>
              <w:rPr>
                <w:rFonts w:hint="eastAsia"/>
                <w:sz w:val="21"/>
                <w:szCs w:val="21"/>
              </w:rPr>
              <w:t>(模块化开放系统方法)</w:t>
            </w:r>
          </w:p>
        </w:tc>
        <w:tc>
          <w:tcPr>
            <w:tcW w:w="5711" w:type="dxa"/>
            <w:vAlign w:val="center"/>
          </w:tcPr>
          <w:p w14:paraId="28225F26">
            <w:pPr>
              <w:rPr>
                <w:sz w:val="21"/>
                <w:szCs w:val="21"/>
              </w:rPr>
            </w:pPr>
            <w:r>
              <w:rPr>
                <w:sz w:val="21"/>
                <w:szCs w:val="21"/>
              </w:rPr>
              <w:t>An acquisition and design strategy consisting of a technical architecture that uses system interfaces compliant with widely supported and consensus-based standards (if available and suitable). The strategy supports a modular, loosely coupled and highly cohesive system structure that allows severable system components at the appropriate level to be incrementally added, removed, or replaced throughout the life cycle of a system platform to afford opportunities for enhanced competition and innovation.</w:t>
            </w:r>
          </w:p>
          <w:p w14:paraId="49A8FA1D">
            <w:pPr>
              <w:rPr>
                <w:sz w:val="21"/>
                <w:szCs w:val="21"/>
              </w:rPr>
            </w:pPr>
            <w:r>
              <w:rPr>
                <w:rFonts w:hint="eastAsia"/>
                <w:sz w:val="21"/>
                <w:szCs w:val="21"/>
              </w:rPr>
              <w:t>翻译：一种采办和设计策略，其技术架构采用符合广泛支持且基于共识的标准（如适用）的系统接口。该策略支持模块化、松散耦合且高度内聚的系统结构，允许在系统平台的整个生命周期内，在适当级别逐步添加、移除或替换可分离的系统组件，从而为增强竞争和创新提供机会。</w:t>
            </w:r>
          </w:p>
        </w:tc>
        <w:tc>
          <w:tcPr>
            <w:tcW w:w="1502" w:type="dxa"/>
            <w:vAlign w:val="center"/>
          </w:tcPr>
          <w:p w14:paraId="7290050C">
            <w:pPr>
              <w:adjustRightInd w:val="0"/>
              <w:snapToGrid w:val="0"/>
              <w:spacing w:line="560" w:lineRule="exact"/>
              <w:rPr>
                <w:sz w:val="21"/>
                <w:szCs w:val="21"/>
              </w:rPr>
            </w:pPr>
            <w:r>
              <w:rPr>
                <w:rFonts w:hint="eastAsia"/>
                <w:sz w:val="21"/>
                <w:szCs w:val="21"/>
              </w:rPr>
              <w:t>DAU/glossary</w:t>
            </w:r>
          </w:p>
        </w:tc>
      </w:tr>
      <w:tr w14:paraId="75316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203C9558">
            <w:pPr>
              <w:rPr>
                <w:sz w:val="21"/>
                <w:szCs w:val="21"/>
              </w:rPr>
            </w:pPr>
            <w:r>
              <w:rPr>
                <w:rFonts w:hint="eastAsia"/>
                <w:sz w:val="21"/>
                <w:szCs w:val="21"/>
              </w:rPr>
              <w:t>MOSA</w:t>
            </w:r>
          </w:p>
        </w:tc>
        <w:tc>
          <w:tcPr>
            <w:tcW w:w="5711" w:type="dxa"/>
            <w:vAlign w:val="center"/>
          </w:tcPr>
          <w:p w14:paraId="4F3A032C">
            <w:pPr>
              <w:adjustRightInd w:val="0"/>
              <w:snapToGrid w:val="0"/>
              <w:rPr>
                <w:sz w:val="21"/>
                <w:szCs w:val="21"/>
              </w:rPr>
            </w:pPr>
            <w:r>
              <w:rPr>
                <w:sz w:val="21"/>
                <w:szCs w:val="21"/>
              </w:rPr>
              <w:t>(1)The term “modular open system approach” means, with respect to a major defense acquisition program, an integrated business and technical strategy that—</w:t>
            </w:r>
          </w:p>
          <w:p w14:paraId="7F987D48">
            <w:pPr>
              <w:adjustRightInd w:val="0"/>
              <w:snapToGrid w:val="0"/>
              <w:ind w:firstLine="420" w:firstLineChars="200"/>
              <w:rPr>
                <w:sz w:val="21"/>
                <w:szCs w:val="21"/>
              </w:rPr>
            </w:pPr>
            <w:r>
              <w:rPr>
                <w:sz w:val="21"/>
                <w:szCs w:val="21"/>
              </w:rPr>
              <w:t>(A)employs a modular design that uses modular system interfaces between major systems, major system components and modular systems;</w:t>
            </w:r>
          </w:p>
          <w:p w14:paraId="180B2C3E">
            <w:pPr>
              <w:adjustRightInd w:val="0"/>
              <w:snapToGrid w:val="0"/>
              <w:ind w:firstLine="420" w:firstLineChars="200"/>
              <w:rPr>
                <w:sz w:val="21"/>
                <w:szCs w:val="21"/>
              </w:rPr>
            </w:pPr>
            <w:r>
              <w:rPr>
                <w:sz w:val="21"/>
                <w:szCs w:val="21"/>
              </w:rPr>
              <w:t>(B)is subjected to verification to ensure that relevant modular system interfaces—</w:t>
            </w:r>
          </w:p>
          <w:p w14:paraId="7FAD0E60">
            <w:pPr>
              <w:adjustRightInd w:val="0"/>
              <w:snapToGrid w:val="0"/>
              <w:ind w:left="420" w:firstLine="420" w:firstLineChars="200"/>
              <w:rPr>
                <w:sz w:val="21"/>
                <w:szCs w:val="21"/>
              </w:rPr>
            </w:pPr>
            <w:r>
              <w:rPr>
                <w:sz w:val="21"/>
                <w:szCs w:val="21"/>
              </w:rPr>
              <w:t>(i)comply with, if available and suitable, widely supported and consensus-based standards; or</w:t>
            </w:r>
          </w:p>
          <w:p w14:paraId="2D0D807F">
            <w:pPr>
              <w:adjustRightInd w:val="0"/>
              <w:snapToGrid w:val="0"/>
              <w:ind w:left="420" w:firstLine="420" w:firstLineChars="200"/>
              <w:rPr>
                <w:sz w:val="21"/>
                <w:szCs w:val="21"/>
              </w:rPr>
            </w:pPr>
            <w:r>
              <w:rPr>
                <w:sz w:val="21"/>
                <w:szCs w:val="21"/>
              </w:rPr>
              <w:t>(ii)are delivered pursuant to the requirements established in subsection (a)(2)(B) of section 804 of the William M. (Mac) Thornberry National Defense Authorization Act for Fiscal Year 2021, including the delivery of—</w:t>
            </w:r>
          </w:p>
          <w:p w14:paraId="7A075948">
            <w:pPr>
              <w:adjustRightInd w:val="0"/>
              <w:snapToGrid w:val="0"/>
              <w:ind w:left="840" w:firstLine="420" w:firstLineChars="200"/>
              <w:rPr>
                <w:sz w:val="21"/>
                <w:szCs w:val="21"/>
              </w:rPr>
            </w:pPr>
            <w:r>
              <w:rPr>
                <w:sz w:val="21"/>
                <w:szCs w:val="21"/>
              </w:rPr>
              <w:t>(I)software-defined interface syntax and properties, specifically governing how values are validly passed and received between major subsystems and components, in machine-readable format;</w:t>
            </w:r>
          </w:p>
          <w:p w14:paraId="06F9147F">
            <w:pPr>
              <w:adjustRightInd w:val="0"/>
              <w:snapToGrid w:val="0"/>
              <w:ind w:left="840" w:firstLine="420" w:firstLineChars="200"/>
              <w:rPr>
                <w:sz w:val="21"/>
                <w:szCs w:val="21"/>
              </w:rPr>
            </w:pPr>
            <w:r>
              <w:rPr>
                <w:sz w:val="21"/>
                <w:szCs w:val="21"/>
              </w:rPr>
              <w:t>(II)a machine-readable definition of the relationship between the delivered interface and existing common standards or interfaces available in Department interface repositories; and</w:t>
            </w:r>
          </w:p>
          <w:p w14:paraId="1C941100">
            <w:pPr>
              <w:adjustRightInd w:val="0"/>
              <w:snapToGrid w:val="0"/>
              <w:ind w:left="840" w:firstLine="420" w:firstLineChars="200"/>
              <w:rPr>
                <w:sz w:val="21"/>
                <w:szCs w:val="21"/>
              </w:rPr>
            </w:pPr>
            <w:r>
              <w:rPr>
                <w:sz w:val="21"/>
                <w:szCs w:val="21"/>
              </w:rPr>
              <w:t>(III)documentation with functional descriptions of software-defined interfaces, conveying semantic meaning of interface elements, such as the function of a given interface field;</w:t>
            </w:r>
          </w:p>
          <w:p w14:paraId="775CDDB3">
            <w:pPr>
              <w:adjustRightInd w:val="0"/>
              <w:snapToGrid w:val="0"/>
              <w:ind w:firstLine="420" w:firstLineChars="200"/>
              <w:rPr>
                <w:sz w:val="21"/>
                <w:szCs w:val="21"/>
              </w:rPr>
            </w:pPr>
            <w:r>
              <w:rPr>
                <w:sz w:val="21"/>
                <w:szCs w:val="21"/>
              </w:rPr>
              <w:t>(C)uses a system architecture that allows severable major system components and modular systems at the appropriate level to be incrementally added, removed, or replaced throughout the life cycle of a major system platform to afford opportunities for enhanced competition and innovation while yielding—</w:t>
            </w:r>
          </w:p>
          <w:p w14:paraId="40B21EC7">
            <w:pPr>
              <w:adjustRightInd w:val="0"/>
              <w:snapToGrid w:val="0"/>
              <w:ind w:left="360" w:firstLine="420" w:firstLineChars="200"/>
              <w:rPr>
                <w:sz w:val="21"/>
                <w:szCs w:val="21"/>
              </w:rPr>
            </w:pPr>
            <w:r>
              <w:rPr>
                <w:sz w:val="21"/>
                <w:szCs w:val="21"/>
              </w:rPr>
              <w:t>(i)significant cost savings or avoidance;</w:t>
            </w:r>
          </w:p>
          <w:p w14:paraId="0C5390C9">
            <w:pPr>
              <w:adjustRightInd w:val="0"/>
              <w:snapToGrid w:val="0"/>
              <w:ind w:left="360" w:firstLine="420" w:firstLineChars="200"/>
              <w:rPr>
                <w:sz w:val="21"/>
                <w:szCs w:val="21"/>
              </w:rPr>
            </w:pPr>
            <w:r>
              <w:rPr>
                <w:sz w:val="21"/>
                <w:szCs w:val="21"/>
              </w:rPr>
              <w:t>(ii)schedule reduction;</w:t>
            </w:r>
          </w:p>
          <w:p w14:paraId="7CE63659">
            <w:pPr>
              <w:adjustRightInd w:val="0"/>
              <w:snapToGrid w:val="0"/>
              <w:ind w:left="360" w:firstLine="420" w:firstLineChars="200"/>
              <w:rPr>
                <w:sz w:val="21"/>
                <w:szCs w:val="21"/>
              </w:rPr>
            </w:pPr>
            <w:r>
              <w:rPr>
                <w:sz w:val="21"/>
                <w:szCs w:val="21"/>
              </w:rPr>
              <w:t>(iii)opportunities for technical upgrades;</w:t>
            </w:r>
          </w:p>
          <w:p w14:paraId="26BFF18A">
            <w:pPr>
              <w:adjustRightInd w:val="0"/>
              <w:snapToGrid w:val="0"/>
              <w:ind w:left="360" w:firstLine="420" w:firstLineChars="200"/>
              <w:rPr>
                <w:sz w:val="21"/>
                <w:szCs w:val="21"/>
              </w:rPr>
            </w:pPr>
            <w:r>
              <w:rPr>
                <w:sz w:val="21"/>
                <w:szCs w:val="21"/>
              </w:rPr>
              <w:t>(iv)increased interoperability, including system of systems interoperability and mission integration; or</w:t>
            </w:r>
          </w:p>
          <w:p w14:paraId="2CA202B1">
            <w:pPr>
              <w:adjustRightInd w:val="0"/>
              <w:snapToGrid w:val="0"/>
              <w:ind w:left="360" w:firstLine="420" w:firstLineChars="200"/>
              <w:rPr>
                <w:sz w:val="21"/>
                <w:szCs w:val="21"/>
              </w:rPr>
            </w:pPr>
            <w:r>
              <w:rPr>
                <w:sz w:val="21"/>
                <w:szCs w:val="21"/>
              </w:rPr>
              <w:t>(v)other benefits during the sustainment phase of a major weapon system; and</w:t>
            </w:r>
          </w:p>
          <w:p w14:paraId="5E4E05AF">
            <w:pPr>
              <w:adjustRightInd w:val="0"/>
              <w:snapToGrid w:val="0"/>
              <w:ind w:firstLine="420" w:firstLineChars="200"/>
              <w:rPr>
                <w:sz w:val="21"/>
                <w:szCs w:val="21"/>
              </w:rPr>
            </w:pPr>
            <w:r>
              <w:rPr>
                <w:sz w:val="21"/>
                <w:szCs w:val="21"/>
              </w:rPr>
              <w:t>(D)complies with the technical data rights set forth in sections 3771 through 3775 of this title.</w:t>
            </w:r>
          </w:p>
          <w:p w14:paraId="723CEC0E">
            <w:pPr>
              <w:rPr>
                <w:sz w:val="21"/>
                <w:szCs w:val="21"/>
              </w:rPr>
            </w:pPr>
            <w:r>
              <w:rPr>
                <w:rFonts w:hint="eastAsia"/>
                <w:sz w:val="21"/>
                <w:szCs w:val="21"/>
              </w:rPr>
              <w:t>翻译：</w:t>
            </w:r>
          </w:p>
          <w:p w14:paraId="2638BAFE">
            <w:pPr>
              <w:rPr>
                <w:sz w:val="21"/>
                <w:szCs w:val="21"/>
              </w:rPr>
            </w:pPr>
            <w:r>
              <w:rPr>
                <w:rFonts w:hint="eastAsia"/>
                <w:sz w:val="21"/>
                <w:szCs w:val="21"/>
              </w:rPr>
              <w:t>就重大国防采办项目而言，“模块化开放系统方法” 指一种整合性的业务与技术策略，该策略需满足以下要求：</w:t>
            </w:r>
          </w:p>
          <w:p w14:paraId="696A56F2">
            <w:pPr>
              <w:ind w:firstLine="420" w:firstLineChars="200"/>
              <w:rPr>
                <w:sz w:val="21"/>
                <w:szCs w:val="21"/>
              </w:rPr>
            </w:pPr>
            <w:r>
              <w:rPr>
                <w:rFonts w:hint="eastAsia"/>
                <w:sz w:val="21"/>
                <w:szCs w:val="21"/>
              </w:rPr>
              <w:t>（A）采用模块化设计，在主要系统、主要系统组件及模块化系统之间采用模块化系统接口；</w:t>
            </w:r>
          </w:p>
          <w:p w14:paraId="2F96765B">
            <w:pPr>
              <w:ind w:firstLine="420" w:firstLineChars="200"/>
              <w:rPr>
                <w:sz w:val="21"/>
                <w:szCs w:val="21"/>
              </w:rPr>
            </w:pPr>
            <w:r>
              <w:rPr>
                <w:rFonts w:hint="eastAsia"/>
                <w:sz w:val="21"/>
                <w:szCs w:val="21"/>
              </w:rPr>
              <w:t>（B）需通过验证，以确保相关模块化系统接口符合以下情形之一：</w:t>
            </w:r>
          </w:p>
          <w:p w14:paraId="3A473EE0">
            <w:pPr>
              <w:ind w:left="480" w:leftChars="200" w:firstLine="420" w:firstLineChars="200"/>
              <w:rPr>
                <w:sz w:val="21"/>
                <w:szCs w:val="21"/>
              </w:rPr>
            </w:pPr>
            <w:r>
              <w:rPr>
                <w:rFonts w:hint="eastAsia"/>
                <w:sz w:val="21"/>
                <w:szCs w:val="21"/>
              </w:rPr>
              <w:t>（i）若存在适用的、获得广泛支持且基于共识的标准，则接口需符合此类标准；</w:t>
            </w:r>
          </w:p>
          <w:p w14:paraId="5A43EB98">
            <w:pPr>
              <w:ind w:left="480" w:leftChars="200" w:firstLine="420" w:firstLineChars="200"/>
              <w:rPr>
                <w:sz w:val="21"/>
                <w:szCs w:val="21"/>
              </w:rPr>
            </w:pPr>
            <w:r>
              <w:rPr>
                <w:rFonts w:hint="eastAsia"/>
                <w:sz w:val="21"/>
                <w:szCs w:val="21"/>
              </w:rPr>
              <w:t>（ii）依据《2021 财年威廉・M・（麦克）索恩伯里国防授权法案》第 804 条（a）（2）（B）款规定的要求交付，交付内容包括：</w:t>
            </w:r>
          </w:p>
          <w:p w14:paraId="7AB20659">
            <w:pPr>
              <w:ind w:left="960" w:leftChars="400" w:firstLine="420" w:firstLineChars="200"/>
              <w:rPr>
                <w:sz w:val="21"/>
                <w:szCs w:val="21"/>
              </w:rPr>
            </w:pPr>
            <w:r>
              <w:rPr>
                <w:rFonts w:hint="eastAsia"/>
                <w:sz w:val="21"/>
                <w:szCs w:val="21"/>
              </w:rPr>
              <w:t>（I）软件定义的接口语法及属性（具体规定主要子系统与组件之间如何有效传递和接收数值），且需采用机器可读格式；</w:t>
            </w:r>
          </w:p>
          <w:p w14:paraId="1AAA8643">
            <w:pPr>
              <w:ind w:left="960" w:leftChars="400" w:firstLine="420" w:firstLineChars="200"/>
              <w:rPr>
                <w:sz w:val="21"/>
                <w:szCs w:val="21"/>
              </w:rPr>
            </w:pPr>
            <w:r>
              <w:rPr>
                <w:rFonts w:hint="eastAsia"/>
                <w:sz w:val="21"/>
                <w:szCs w:val="21"/>
              </w:rPr>
              <w:t>（II）机器可读形式的定义文件，说明所交付接口与现有通用标准或国防部接口库中可用接口之间的关系；</w:t>
            </w:r>
          </w:p>
          <w:p w14:paraId="1AED6A9F">
            <w:pPr>
              <w:ind w:left="960" w:leftChars="400" w:firstLine="420" w:firstLineChars="200"/>
              <w:rPr>
                <w:sz w:val="21"/>
                <w:szCs w:val="21"/>
              </w:rPr>
            </w:pPr>
            <w:r>
              <w:rPr>
                <w:rFonts w:hint="eastAsia"/>
                <w:sz w:val="21"/>
                <w:szCs w:val="21"/>
              </w:rPr>
              <w:t>（III）含软件定义接口功能描述的文档，阐明接口元素的语义（如特定接口字段的功能）；</w:t>
            </w:r>
          </w:p>
          <w:p w14:paraId="212004AB">
            <w:pPr>
              <w:ind w:firstLine="420" w:firstLineChars="200"/>
              <w:rPr>
                <w:sz w:val="21"/>
                <w:szCs w:val="21"/>
              </w:rPr>
            </w:pPr>
            <w:r>
              <w:rPr>
                <w:rFonts w:hint="eastAsia"/>
                <w:sz w:val="21"/>
                <w:szCs w:val="21"/>
              </w:rPr>
              <w:t>（C）采用的系统架构应能在重大系统平台的全生命周期内，对相应层级可拆分的主要系统组件及模块化系统进行增量式添加、移除或替换，从而为增强竞争与创新创造机会，同时实现以下效果之一：</w:t>
            </w:r>
          </w:p>
          <w:p w14:paraId="645FE2B8">
            <w:pPr>
              <w:ind w:left="960" w:leftChars="400"/>
              <w:rPr>
                <w:sz w:val="21"/>
                <w:szCs w:val="21"/>
              </w:rPr>
            </w:pPr>
            <w:r>
              <w:rPr>
                <w:rFonts w:hint="eastAsia"/>
                <w:sz w:val="21"/>
                <w:szCs w:val="21"/>
              </w:rPr>
              <w:t>（i）显著节省成本或避免成本增加；</w:t>
            </w:r>
            <w:r>
              <w:rPr>
                <w:rFonts w:hint="eastAsia"/>
                <w:sz w:val="21"/>
                <w:szCs w:val="21"/>
              </w:rPr>
              <w:br w:type="textWrapping"/>
            </w:r>
            <w:r>
              <w:rPr>
                <w:rFonts w:hint="eastAsia"/>
                <w:sz w:val="21"/>
                <w:szCs w:val="21"/>
              </w:rPr>
              <w:t>（ii）缩短项目进度；</w:t>
            </w:r>
          </w:p>
          <w:p w14:paraId="4D899B70">
            <w:pPr>
              <w:ind w:left="960" w:leftChars="400"/>
              <w:rPr>
                <w:sz w:val="21"/>
                <w:szCs w:val="21"/>
              </w:rPr>
            </w:pPr>
            <w:r>
              <w:rPr>
                <w:rFonts w:hint="eastAsia"/>
                <w:sz w:val="21"/>
                <w:szCs w:val="21"/>
              </w:rPr>
              <w:t>（iii）创造技术升级机会；</w:t>
            </w:r>
          </w:p>
          <w:p w14:paraId="331CF56D">
            <w:pPr>
              <w:ind w:left="960" w:leftChars="400"/>
              <w:rPr>
                <w:sz w:val="21"/>
                <w:szCs w:val="21"/>
              </w:rPr>
            </w:pPr>
            <w:r>
              <w:rPr>
                <w:rFonts w:hint="eastAsia"/>
                <w:sz w:val="21"/>
                <w:szCs w:val="21"/>
              </w:rPr>
              <w:t>（iv）提升互操作性（包括系统之系统的互操作性及任务整合能力）；</w:t>
            </w:r>
          </w:p>
          <w:p w14:paraId="790012FD">
            <w:pPr>
              <w:ind w:left="480" w:leftChars="200" w:firstLine="420" w:firstLineChars="200"/>
              <w:rPr>
                <w:sz w:val="21"/>
                <w:szCs w:val="21"/>
              </w:rPr>
            </w:pPr>
            <w:r>
              <w:rPr>
                <w:rFonts w:hint="eastAsia"/>
                <w:sz w:val="21"/>
                <w:szCs w:val="21"/>
              </w:rPr>
              <w:t>（v）为重大武器系统保障阶段带来其他收益；</w:t>
            </w:r>
          </w:p>
          <w:p w14:paraId="12E55D30">
            <w:pPr>
              <w:ind w:firstLine="420" w:firstLineChars="200"/>
              <w:rPr>
                <w:sz w:val="21"/>
                <w:szCs w:val="21"/>
              </w:rPr>
            </w:pPr>
            <w:r>
              <w:rPr>
                <w:rFonts w:hint="eastAsia"/>
                <w:sz w:val="21"/>
                <w:szCs w:val="21"/>
              </w:rPr>
              <w:t>（D）符合本章第 3771 至 3775 条规定的技术数据权利。</w:t>
            </w:r>
          </w:p>
        </w:tc>
        <w:tc>
          <w:tcPr>
            <w:tcW w:w="1502" w:type="dxa"/>
            <w:vAlign w:val="center"/>
          </w:tcPr>
          <w:p w14:paraId="0434B5DC">
            <w:pPr>
              <w:adjustRightInd w:val="0"/>
              <w:snapToGrid w:val="0"/>
              <w:spacing w:line="560" w:lineRule="exact"/>
              <w:rPr>
                <w:sz w:val="21"/>
                <w:szCs w:val="21"/>
              </w:rPr>
            </w:pPr>
            <w:r>
              <w:rPr>
                <w:rFonts w:hint="eastAsia"/>
                <w:sz w:val="21"/>
                <w:szCs w:val="21"/>
              </w:rPr>
              <w:t>10USC§4401</w:t>
            </w:r>
          </w:p>
        </w:tc>
      </w:tr>
    </w:tbl>
    <w:p w14:paraId="7BAD274D">
      <w:pPr>
        <w:rPr>
          <w:rFonts w:hint="eastAsia" w:ascii="仿宋" w:hAnsi="仿宋" w:eastAsia="仿宋" w:cs="仿宋"/>
        </w:rPr>
      </w:pPr>
    </w:p>
    <w:p w14:paraId="079D07EE">
      <w:pPr>
        <w:rPr>
          <w:rFonts w:ascii="仿宋" w:hAnsi="仿宋" w:eastAsia="仿宋" w:cs="仿宋"/>
        </w:rPr>
      </w:pPr>
      <w:r>
        <w:rPr>
          <w:rFonts w:hint="eastAsia" w:ascii="仿宋" w:hAnsi="仿宋" w:eastAsia="仿宋" w:cs="仿宋"/>
        </w:rPr>
        <w:t>辅助理解的两个定义：</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9"/>
        <w:gridCol w:w="5711"/>
        <w:gridCol w:w="1502"/>
      </w:tblGrid>
      <w:tr w14:paraId="52CEE0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33244701">
            <w:pPr>
              <w:jc w:val="center"/>
              <w:rPr>
                <w:sz w:val="21"/>
                <w:szCs w:val="21"/>
              </w:rPr>
            </w:pPr>
            <w:r>
              <w:rPr>
                <w:rFonts w:hint="eastAsia"/>
                <w:sz w:val="21"/>
                <w:szCs w:val="21"/>
              </w:rPr>
              <w:t>名称</w:t>
            </w:r>
          </w:p>
        </w:tc>
        <w:tc>
          <w:tcPr>
            <w:tcW w:w="5711" w:type="dxa"/>
            <w:vAlign w:val="center"/>
          </w:tcPr>
          <w:p w14:paraId="11C4C5A9">
            <w:pPr>
              <w:jc w:val="center"/>
              <w:rPr>
                <w:sz w:val="21"/>
                <w:szCs w:val="21"/>
              </w:rPr>
            </w:pPr>
            <w:r>
              <w:rPr>
                <w:rFonts w:hint="eastAsia"/>
                <w:sz w:val="21"/>
                <w:szCs w:val="21"/>
              </w:rPr>
              <w:t>定义</w:t>
            </w:r>
          </w:p>
        </w:tc>
        <w:tc>
          <w:tcPr>
            <w:tcW w:w="1502" w:type="dxa"/>
            <w:vAlign w:val="center"/>
          </w:tcPr>
          <w:p w14:paraId="44DFA522">
            <w:pPr>
              <w:jc w:val="center"/>
              <w:rPr>
                <w:sz w:val="21"/>
                <w:szCs w:val="21"/>
              </w:rPr>
            </w:pPr>
            <w:r>
              <w:rPr>
                <w:rFonts w:hint="eastAsia"/>
                <w:sz w:val="21"/>
                <w:szCs w:val="21"/>
              </w:rPr>
              <w:t>来源</w:t>
            </w:r>
          </w:p>
        </w:tc>
      </w:tr>
      <w:tr w14:paraId="1556E4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428372CC">
            <w:pPr>
              <w:rPr>
                <w:sz w:val="21"/>
                <w:szCs w:val="21"/>
              </w:rPr>
            </w:pPr>
            <w:r>
              <w:rPr>
                <w:sz w:val="21"/>
                <w:szCs w:val="21"/>
              </w:rPr>
              <w:t>A</w:t>
            </w:r>
            <w:r>
              <w:rPr>
                <w:rFonts w:hint="eastAsia"/>
                <w:sz w:val="21"/>
                <w:szCs w:val="21"/>
              </w:rPr>
              <w:t>rchitecture(架构)</w:t>
            </w:r>
          </w:p>
          <w:p w14:paraId="1CDF2162">
            <w:pPr>
              <w:jc w:val="center"/>
              <w:rPr>
                <w:rFonts w:hint="eastAsia"/>
                <w:sz w:val="21"/>
                <w:szCs w:val="21"/>
              </w:rPr>
            </w:pPr>
          </w:p>
        </w:tc>
        <w:tc>
          <w:tcPr>
            <w:tcW w:w="5711" w:type="dxa"/>
            <w:vAlign w:val="center"/>
          </w:tcPr>
          <w:p w14:paraId="47D7E0BD">
            <w:pPr>
              <w:rPr>
                <w:sz w:val="21"/>
                <w:szCs w:val="21"/>
              </w:rPr>
            </w:pPr>
            <w:r>
              <w:rPr>
                <w:sz w:val="21"/>
                <w:szCs w:val="21"/>
              </w:rPr>
              <w:t>The structure of components, their relationships, and the principles and guidelines governing their design and evolution over time.</w:t>
            </w:r>
          </w:p>
          <w:p w14:paraId="37107F9F">
            <w:pPr>
              <w:rPr>
                <w:rFonts w:hint="eastAsia"/>
                <w:sz w:val="21"/>
                <w:szCs w:val="21"/>
              </w:rPr>
            </w:pPr>
            <w:r>
              <w:rPr>
                <w:rFonts w:hint="eastAsia"/>
                <w:sz w:val="21"/>
                <w:szCs w:val="21"/>
              </w:rPr>
              <w:t>翻译：组件的结构、它们之间的关系，以及管理其设计和随时间演化的原则和指南。</w:t>
            </w:r>
          </w:p>
        </w:tc>
        <w:tc>
          <w:tcPr>
            <w:tcW w:w="1502" w:type="dxa"/>
            <w:vAlign w:val="center"/>
          </w:tcPr>
          <w:p w14:paraId="0EFCDA7F">
            <w:pPr>
              <w:rPr>
                <w:rFonts w:hint="eastAsia"/>
                <w:sz w:val="21"/>
                <w:szCs w:val="21"/>
              </w:rPr>
            </w:pPr>
            <w:r>
              <w:rPr>
                <w:rFonts w:hint="eastAsia"/>
                <w:sz w:val="21"/>
                <w:szCs w:val="21"/>
              </w:rPr>
              <w:t>DAU/glossary</w:t>
            </w:r>
          </w:p>
        </w:tc>
      </w:tr>
      <w:tr w14:paraId="69C8B2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72C05E8B">
            <w:pPr>
              <w:rPr>
                <w:sz w:val="21"/>
                <w:szCs w:val="21"/>
              </w:rPr>
            </w:pPr>
            <w:r>
              <w:rPr>
                <w:sz w:val="21"/>
                <w:szCs w:val="21"/>
              </w:rPr>
              <w:t>Technical Architecture</w:t>
            </w:r>
            <w:r>
              <w:rPr>
                <w:rFonts w:hint="eastAsia"/>
                <w:sz w:val="21"/>
                <w:szCs w:val="21"/>
              </w:rPr>
              <w:t>（TA）</w:t>
            </w:r>
          </w:p>
          <w:p w14:paraId="1E00AB4D">
            <w:pPr>
              <w:jc w:val="center"/>
              <w:rPr>
                <w:rFonts w:hint="eastAsia"/>
                <w:sz w:val="21"/>
                <w:szCs w:val="21"/>
              </w:rPr>
            </w:pPr>
            <w:r>
              <w:rPr>
                <w:rFonts w:hint="eastAsia"/>
                <w:sz w:val="21"/>
                <w:szCs w:val="21"/>
              </w:rPr>
              <w:t>(技术架构</w:t>
            </w:r>
            <w:r>
              <w:rPr>
                <w:sz w:val="21"/>
                <w:szCs w:val="21"/>
              </w:rPr>
              <w:t>)</w:t>
            </w:r>
          </w:p>
        </w:tc>
        <w:tc>
          <w:tcPr>
            <w:tcW w:w="5711" w:type="dxa"/>
            <w:vAlign w:val="center"/>
          </w:tcPr>
          <w:p w14:paraId="38FB1D93">
            <w:pPr>
              <w:adjustRightInd w:val="0"/>
              <w:snapToGrid w:val="0"/>
              <w:rPr>
                <w:sz w:val="21"/>
                <w:szCs w:val="21"/>
              </w:rPr>
            </w:pPr>
            <w:r>
              <w:rPr>
                <w:sz w:val="21"/>
                <w:szCs w:val="21"/>
              </w:rPr>
              <w:t>The minimal set of rules governing the arrangement, interaction, and interdependence of the parts or elements whose purpose is to ensure that a conformant system satisfies a specified set of requirements. The technical architecture identifies the services, interfaces, standards, and their relationships. It provides the technical guidelines for implementation of systems upon which engineering specifications are based, common building blocks are built, and product lines are developed.</w:t>
            </w:r>
          </w:p>
          <w:p w14:paraId="1AB87B8C">
            <w:pPr>
              <w:rPr>
                <w:rFonts w:hint="eastAsia"/>
                <w:sz w:val="21"/>
                <w:szCs w:val="21"/>
              </w:rPr>
            </w:pPr>
            <w:r>
              <w:rPr>
                <w:rFonts w:hint="eastAsia"/>
                <w:sz w:val="21"/>
                <w:szCs w:val="21"/>
              </w:rPr>
              <w:t>翻译：指管理各部件或元素之排列、交互与依存关系的最低限规则集合，其目的在于确保合规系统满足特定需求集。技术架构明确了</w:t>
            </w:r>
            <w:r>
              <w:rPr>
                <w:rFonts w:hint="eastAsia"/>
                <w:sz w:val="21"/>
                <w:szCs w:val="21"/>
                <w:lang w:val="en-US" w:eastAsia="zh-CN"/>
              </w:rPr>
              <w:t>服务</w:t>
            </w:r>
            <w:r>
              <w:rPr>
                <w:rFonts w:hint="eastAsia"/>
                <w:sz w:val="21"/>
                <w:szCs w:val="21"/>
              </w:rPr>
              <w:t>、接口、</w:t>
            </w:r>
            <w:r>
              <w:rPr>
                <w:rFonts w:hint="eastAsia"/>
                <w:sz w:val="21"/>
                <w:szCs w:val="21"/>
                <w:lang w:val="en-US" w:eastAsia="zh-CN"/>
              </w:rPr>
              <w:t>标准</w:t>
            </w:r>
            <w:r>
              <w:rPr>
                <w:rFonts w:hint="eastAsia"/>
                <w:sz w:val="21"/>
                <w:szCs w:val="21"/>
              </w:rPr>
              <w:t>及其相互关系，为系统</w:t>
            </w:r>
            <w:r>
              <w:rPr>
                <w:rFonts w:hint="eastAsia"/>
                <w:sz w:val="21"/>
                <w:szCs w:val="21"/>
                <w:lang w:val="en-US" w:eastAsia="zh-CN"/>
              </w:rPr>
              <w:t>实现</w:t>
            </w:r>
            <w:r>
              <w:rPr>
                <w:rFonts w:hint="eastAsia"/>
                <w:sz w:val="21"/>
                <w:szCs w:val="21"/>
              </w:rPr>
              <w:t>提供技术准则——工程规范基于此制定，通用构建块依此搭建，产品线由此延伸发展。</w:t>
            </w:r>
          </w:p>
        </w:tc>
        <w:tc>
          <w:tcPr>
            <w:tcW w:w="1502" w:type="dxa"/>
            <w:vAlign w:val="center"/>
          </w:tcPr>
          <w:p w14:paraId="326863C8">
            <w:pPr>
              <w:rPr>
                <w:rFonts w:hint="eastAsia"/>
                <w:sz w:val="21"/>
                <w:szCs w:val="21"/>
              </w:rPr>
            </w:pPr>
            <w:r>
              <w:rPr>
                <w:sz w:val="21"/>
                <w:szCs w:val="21"/>
              </w:rPr>
              <w:t>Department of Defense Joint Technical Architecture (JTA) Version 2.0</w:t>
            </w:r>
          </w:p>
        </w:tc>
      </w:tr>
    </w:tbl>
    <w:p w14:paraId="7A51BC21">
      <w:pPr>
        <w:rPr>
          <w:rFonts w:hint="eastAsia" w:ascii="仿宋" w:hAnsi="仿宋" w:eastAsia="仿宋" w:cs="仿宋"/>
        </w:rPr>
      </w:pPr>
    </w:p>
    <w:p w14:paraId="0454B404">
      <w:pPr>
        <w:pStyle w:val="4"/>
      </w:pPr>
      <w:r>
        <w:rPr>
          <w:rFonts w:hint="eastAsia"/>
        </w:rPr>
        <w:t>2.2定义总结：</w:t>
      </w:r>
    </w:p>
    <w:p w14:paraId="408AA6BD">
      <w:pPr>
        <w:spacing w:line="300" w:lineRule="auto"/>
        <w:ind w:firstLine="482" w:firstLineChars="200"/>
        <w:rPr>
          <w:rFonts w:ascii="仿宋" w:hAnsi="仿宋" w:eastAsia="仿宋" w:cs="仿宋"/>
        </w:rPr>
      </w:pPr>
      <w:r>
        <w:rPr>
          <w:rFonts w:hint="eastAsia" w:ascii="仿宋" w:hAnsi="仿宋" w:eastAsia="仿宋" w:cs="仿宋"/>
          <w:b/>
          <w:bCs/>
        </w:rPr>
        <w:t>首先明确相似概念</w:t>
      </w:r>
      <w:r>
        <w:rPr>
          <w:rFonts w:hint="eastAsia" w:ascii="仿宋" w:hAnsi="仿宋" w:eastAsia="仿宋" w:cs="仿宋"/>
        </w:rPr>
        <w:t>。对当前搜集到的定义整理如下图所示。包含六个，用灰色方框表示，并以1至6编号。实线箭头表示定义中包含的关系。箭头上的编号与定义的编号相对应，由于定义的表述存在重复，所以一些箭头包含多个编号。</w:t>
      </w:r>
    </w:p>
    <w:p w14:paraId="222B7DB9">
      <w:pPr>
        <w:spacing w:line="300" w:lineRule="auto"/>
        <w:jc w:val="center"/>
        <w:rPr>
          <w:rFonts w:ascii="仿宋" w:hAnsi="仿宋" w:eastAsia="仿宋" w:cs="仿宋"/>
        </w:rPr>
      </w:pPr>
      <w:r>
        <w:rPr>
          <w:rFonts w:ascii="仿宋" w:hAnsi="仿宋" w:eastAsia="仿宋" w:cs="仿宋"/>
        </w:rPr>
        <w:drawing>
          <wp:inline distT="0" distB="0" distL="0" distR="0">
            <wp:extent cx="5274310" cy="12020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5274310" cy="1202055"/>
                    </a:xfrm>
                    <a:prstGeom prst="rect">
                      <a:avLst/>
                    </a:prstGeom>
                  </pic:spPr>
                </pic:pic>
              </a:graphicData>
            </a:graphic>
          </wp:inline>
        </w:drawing>
      </w:r>
    </w:p>
    <w:p w14:paraId="2EBC04AC">
      <w:pPr>
        <w:spacing w:line="300" w:lineRule="auto"/>
        <w:ind w:firstLine="480" w:firstLineChars="200"/>
        <w:rPr>
          <w:rFonts w:ascii="仿宋" w:hAnsi="仿宋" w:eastAsia="仿宋" w:cs="仿宋"/>
        </w:rPr>
      </w:pPr>
      <w:r>
        <w:rPr>
          <w:rFonts w:hint="eastAsia" w:ascii="仿宋" w:hAnsi="仿宋" w:eastAsia="仿宋" w:cs="仿宋"/>
        </w:rPr>
        <w:t>相似概念开放系统、开放架构、开放系统架构、模块化开放系统方法，最终指向了对技术架构的要求。例如开放架构（Open</w:t>
      </w:r>
      <w:r>
        <w:rPr>
          <w:rFonts w:ascii="仿宋" w:hAnsi="仿宋" w:eastAsia="仿宋" w:cs="仿宋"/>
        </w:rPr>
        <w:t xml:space="preserve"> </w:t>
      </w:r>
      <w:r>
        <w:rPr>
          <w:rFonts w:hint="eastAsia" w:ascii="仿宋" w:hAnsi="仿宋" w:eastAsia="仿宋" w:cs="仿宋"/>
        </w:rPr>
        <w:t>Architecture）是一种技术架构；开放系统（Open</w:t>
      </w:r>
      <w:r>
        <w:rPr>
          <w:rFonts w:ascii="仿宋" w:hAnsi="仿宋" w:eastAsia="仿宋" w:cs="仿宋"/>
        </w:rPr>
        <w:t xml:space="preserve"> </w:t>
      </w:r>
      <w:r>
        <w:rPr>
          <w:rFonts w:hint="eastAsia" w:ascii="仿宋" w:hAnsi="仿宋" w:eastAsia="仿宋" w:cs="仿宋"/>
        </w:rPr>
        <w:t>System）是</w:t>
      </w:r>
      <w:r>
        <w:rPr>
          <w:rFonts w:hint="eastAsia" w:ascii="仿宋" w:hAnsi="仿宋" w:eastAsia="仿宋" w:cs="仿宋"/>
          <w:lang w:val="en-US" w:eastAsia="zh-CN"/>
        </w:rPr>
        <w:t>其</w:t>
      </w:r>
      <w:r>
        <w:rPr>
          <w:rFonts w:hint="eastAsia" w:ascii="仿宋" w:hAnsi="仿宋" w:eastAsia="仿宋" w:cs="仿宋"/>
        </w:rPr>
        <w:t>技术架构</w:t>
      </w:r>
      <w:r>
        <w:rPr>
          <w:rFonts w:hint="eastAsia" w:ascii="仿宋" w:hAnsi="仿宋" w:eastAsia="仿宋" w:cs="仿宋"/>
          <w:lang w:val="en-US" w:eastAsia="zh-CN"/>
        </w:rPr>
        <w:t>具备某些</w:t>
      </w:r>
      <w:r>
        <w:rPr>
          <w:rFonts w:hint="eastAsia" w:ascii="仿宋" w:hAnsi="仿宋" w:eastAsia="仿宋" w:cs="仿宋"/>
        </w:rPr>
        <w:t>特点的系统；开放系统架构（Open</w:t>
      </w:r>
      <w:r>
        <w:rPr>
          <w:rFonts w:ascii="仿宋" w:hAnsi="仿宋" w:eastAsia="仿宋" w:cs="仿宋"/>
        </w:rPr>
        <w:t xml:space="preserve"> </w:t>
      </w:r>
      <w:r>
        <w:rPr>
          <w:rFonts w:hint="eastAsia" w:ascii="仿宋" w:hAnsi="仿宋" w:eastAsia="仿宋" w:cs="仿宋"/>
        </w:rPr>
        <w:t>Systems</w:t>
      </w:r>
      <w:r>
        <w:rPr>
          <w:rFonts w:ascii="仿宋" w:hAnsi="仿宋" w:eastAsia="仿宋" w:cs="仿宋"/>
        </w:rPr>
        <w:t xml:space="preserve"> </w:t>
      </w:r>
      <w:r>
        <w:rPr>
          <w:rFonts w:hint="eastAsia" w:ascii="仿宋" w:hAnsi="仿宋" w:eastAsia="仿宋" w:cs="仿宋"/>
        </w:rPr>
        <w:t>Architecture）是开放系统的一个特征。</w:t>
      </w:r>
      <w:r>
        <w:rPr>
          <w:rFonts w:hint="eastAsia" w:ascii="仿宋" w:hAnsi="仿宋" w:eastAsia="仿宋" w:cs="仿宋"/>
          <w:lang w:val="en-US" w:eastAsia="zh-CN"/>
        </w:rPr>
        <w:t>技术架构的定义在上一小结的表格中已列出，在此不再赘述。上述概念对技术架构提出的要求非常相似，包括以下两点：</w:t>
      </w:r>
    </w:p>
    <w:p w14:paraId="7E0C18D1">
      <w:pPr>
        <w:numPr>
          <w:ilvl w:val="0"/>
          <w:numId w:val="2"/>
        </w:numPr>
        <w:spacing w:line="300" w:lineRule="auto"/>
        <w:ind w:firstLine="480" w:firstLineChars="200"/>
        <w:rPr>
          <w:rFonts w:ascii="仿宋" w:hAnsi="仿宋" w:eastAsia="仿宋" w:cs="仿宋"/>
        </w:rPr>
      </w:pPr>
      <w:r>
        <w:rPr>
          <w:rFonts w:hint="eastAsia" w:ascii="仿宋" w:hAnsi="仿宋" w:eastAsia="仿宋" w:cs="仿宋"/>
        </w:rPr>
        <w:t>采用或符合具备某些特征的标准（standards）；</w:t>
      </w:r>
    </w:p>
    <w:p w14:paraId="3120FE11">
      <w:pPr>
        <w:numPr>
          <w:ilvl w:val="0"/>
          <w:numId w:val="2"/>
        </w:numPr>
        <w:spacing w:line="300" w:lineRule="auto"/>
        <w:ind w:firstLine="480" w:firstLineChars="200"/>
        <w:rPr>
          <w:rFonts w:ascii="仿宋" w:hAnsi="仿宋" w:eastAsia="仿宋" w:cs="仿宋"/>
        </w:rPr>
      </w:pPr>
      <w:r>
        <w:rPr>
          <w:rFonts w:hint="eastAsia" w:ascii="仿宋" w:hAnsi="仿宋" w:eastAsia="仿宋" w:cs="仿宋"/>
        </w:rPr>
        <w:t>支持具备某些特征的系统结构（system structure）。</w:t>
      </w:r>
    </w:p>
    <w:p w14:paraId="59BF9AA1">
      <w:pPr>
        <w:spacing w:line="300" w:lineRule="auto"/>
        <w:ind w:firstLine="480" w:firstLineChars="200"/>
        <w:rPr>
          <w:rFonts w:ascii="仿宋" w:hAnsi="仿宋" w:eastAsia="仿宋" w:cs="仿宋"/>
        </w:rPr>
      </w:pPr>
      <w:r>
        <w:rPr>
          <w:rFonts w:hint="eastAsia" w:ascii="仿宋" w:hAnsi="仿宋" w:eastAsia="仿宋" w:cs="仿宋"/>
        </w:rPr>
        <w:t>标准具备以下部分或全部特征：基于共识、广泛接受和支持、由市场或标准组织制定、公认的、支持互操作性、支持可移植性、支持可扩展性、免费或适度许可费。</w:t>
      </w:r>
    </w:p>
    <w:p w14:paraId="269C0521">
      <w:pPr>
        <w:spacing w:line="300" w:lineRule="auto"/>
        <w:ind w:firstLine="480" w:firstLineChars="200"/>
        <w:rPr>
          <w:rFonts w:ascii="仿宋" w:hAnsi="仿宋" w:eastAsia="仿宋" w:cs="仿宋"/>
        </w:rPr>
      </w:pPr>
      <w:r>
        <w:rPr>
          <w:rFonts w:hint="eastAsia" w:ascii="仿宋" w:hAnsi="仿宋" w:eastAsia="仿宋" w:cs="仿宋"/>
        </w:rPr>
        <w:t>支持的系统结构具备以下部分或全部特征：松耦合、强内聚、模块化、关键接口发布、完整或相关设计的公开。</w:t>
      </w:r>
    </w:p>
    <w:p w14:paraId="7EB5261C">
      <w:pPr>
        <w:spacing w:line="300" w:lineRule="auto"/>
        <w:ind w:firstLine="482" w:firstLineChars="200"/>
        <w:rPr>
          <w:rFonts w:hint="default" w:ascii="仿宋" w:hAnsi="仿宋" w:eastAsia="仿宋" w:cs="仿宋"/>
          <w:lang w:val="en-US" w:eastAsia="zh-CN"/>
        </w:rPr>
      </w:pPr>
      <w:r>
        <w:rPr>
          <w:rFonts w:hint="eastAsia" w:ascii="仿宋" w:hAnsi="仿宋" w:eastAsia="仿宋" w:cs="仿宋"/>
          <w:b/>
          <w:bCs/>
        </w:rPr>
        <w:t>然后尝试理解软件开放式架构的概念</w:t>
      </w:r>
      <w:r>
        <w:rPr>
          <w:rFonts w:hint="eastAsia" w:ascii="仿宋" w:hAnsi="仿宋" w:eastAsia="仿宋" w:cs="仿宋"/>
        </w:rPr>
        <w:t>。最为相似的</w:t>
      </w:r>
      <w:r>
        <w:rPr>
          <w:rFonts w:hint="eastAsia" w:ascii="仿宋" w:hAnsi="仿宋" w:eastAsia="仿宋" w:cs="仿宋"/>
          <w:lang w:val="en-US" w:eastAsia="zh-CN"/>
        </w:rPr>
        <w:t>概念是</w:t>
      </w:r>
      <w:r>
        <w:rPr>
          <w:rFonts w:hint="eastAsia" w:ascii="仿宋" w:hAnsi="仿宋" w:eastAsia="仿宋" w:cs="仿宋"/>
        </w:rPr>
        <w:t>开放架构（Open</w:t>
      </w:r>
      <w:r>
        <w:rPr>
          <w:rFonts w:ascii="仿宋" w:hAnsi="仿宋" w:eastAsia="仿宋" w:cs="仿宋"/>
        </w:rPr>
        <w:t xml:space="preserve"> </w:t>
      </w:r>
      <w:r>
        <w:rPr>
          <w:rFonts w:hint="eastAsia" w:ascii="仿宋" w:hAnsi="仿宋" w:eastAsia="仿宋" w:cs="仿宋"/>
        </w:rPr>
        <w:t>Architecture）和开放系统（Open</w:t>
      </w:r>
      <w:r>
        <w:rPr>
          <w:rFonts w:ascii="仿宋" w:hAnsi="仿宋" w:eastAsia="仿宋" w:cs="仿宋"/>
        </w:rPr>
        <w:t xml:space="preserve"> </w:t>
      </w:r>
      <w:r>
        <w:rPr>
          <w:rFonts w:hint="eastAsia" w:ascii="仿宋" w:hAnsi="仿宋" w:eastAsia="仿宋" w:cs="仿宋"/>
        </w:rPr>
        <w:t>System）</w:t>
      </w:r>
      <w:r>
        <w:rPr>
          <w:rFonts w:hint="eastAsia" w:ascii="仿宋" w:hAnsi="仿宋" w:eastAsia="仿宋" w:cs="仿宋"/>
          <w:lang w:eastAsia="zh-CN"/>
        </w:rPr>
        <w:t>。</w:t>
      </w:r>
      <w:r>
        <w:rPr>
          <w:rFonts w:hint="eastAsia" w:ascii="仿宋" w:hAnsi="仿宋" w:eastAsia="仿宋" w:cs="仿宋"/>
          <w:lang w:val="en-US" w:eastAsia="zh-CN"/>
        </w:rPr>
        <w:t>开放架构是一种技术架构，开放系统是技术架构是开放架构的系统。与之对应，软件开放式架构是一种关注软件领域的技术架构，开放软件（系统）是技术架构是软件开放式架构的软件系统。</w:t>
      </w:r>
    </w:p>
    <w:p w14:paraId="4CE811E3">
      <w:pPr>
        <w:spacing w:line="300" w:lineRule="auto"/>
        <w:ind w:firstLine="480" w:firstLineChars="200"/>
        <w:rPr>
          <w:rFonts w:hint="eastAsia" w:ascii="仿宋" w:hAnsi="仿宋" w:eastAsia="仿宋" w:cs="仿宋"/>
        </w:rPr>
      </w:pPr>
      <w:r>
        <w:rPr>
          <w:rFonts w:hint="eastAsia" w:ascii="仿宋" w:hAnsi="仿宋" w:eastAsia="仿宋" w:cs="仿宋"/>
        </w:rPr>
        <w:t>对软件开放式架构的理解如下：软件开放式架构是一种用于构建软件系统的技术架构。该技术架构（优先）采用开放标准（基于共识、广泛接受和支持、支持互操作性、可移植性、可扩展性），该技术架构支持下所设计的软件系统结构具备松耦合、强内聚、模块化、与硬件解耦、关键接口和相关设计公开等特点，允许在系统平台的全生命周期内，对相应层级可拆分的软件组件进行添加、移除或替换。</w:t>
      </w:r>
    </w:p>
    <w:p w14:paraId="58DB8102">
      <w:pPr>
        <w:spacing w:line="300" w:lineRule="auto"/>
        <w:ind w:firstLine="482" w:firstLineChars="200"/>
        <w:rPr>
          <w:rFonts w:hint="default" w:ascii="仿宋" w:hAnsi="仿宋" w:eastAsia="仿宋" w:cs="仿宋"/>
          <w:lang w:val="en-US" w:eastAsia="zh-CN"/>
        </w:rPr>
      </w:pPr>
      <w:r>
        <w:rPr>
          <w:rFonts w:hint="eastAsia" w:ascii="仿宋" w:hAnsi="仿宋" w:eastAsia="仿宋" w:cs="仿宋"/>
          <w:b/>
          <w:bCs/>
          <w:lang w:val="en-US" w:eastAsia="zh-CN"/>
        </w:rPr>
        <w:t>开放系统、开放架构、（模块化）开放系统方法的范围分析</w:t>
      </w:r>
      <w:r>
        <w:rPr>
          <w:rFonts w:hint="eastAsia" w:ascii="仿宋" w:hAnsi="仿宋" w:eastAsia="仿宋" w:cs="仿宋"/>
          <w:b w:val="0"/>
          <w:bCs w:val="0"/>
          <w:lang w:val="en-US" w:eastAsia="zh-CN"/>
        </w:rPr>
        <w:t>,（待办，可以画个图）。开放架构决定系统内组件之间的排列、交互与依存关系的准则（主要是在空间层面的，我认为要广义讨论也可扩展到生命周期中需要遵循的一些规则），其作用在系统内。而开放系统方法是一种采办策略，目的是确保武器装备作为开放系统来实现，其主要作用在系统外，包含一些采办流程、设计流程等考虑。</w:t>
      </w:r>
    </w:p>
    <w:p w14:paraId="4F7208A3">
      <w:pPr>
        <w:pStyle w:val="4"/>
      </w:pPr>
      <w:r>
        <w:rPr>
          <w:rFonts w:hint="eastAsia"/>
        </w:rPr>
        <w:t>2.</w:t>
      </w:r>
      <w:r>
        <w:t>3</w:t>
      </w:r>
      <w:r>
        <w:rPr>
          <w:rFonts w:hint="eastAsia"/>
        </w:rPr>
        <w:t>待办：</w:t>
      </w:r>
    </w:p>
    <w:p w14:paraId="64C22C5B">
      <w:pPr>
        <w:spacing w:line="300" w:lineRule="auto"/>
        <w:ind w:firstLine="480" w:firstLineChars="200"/>
        <w:rPr>
          <w:rFonts w:ascii="仿宋" w:hAnsi="仿宋" w:eastAsia="仿宋" w:cs="仿宋"/>
        </w:rPr>
      </w:pPr>
      <w:r>
        <w:rPr>
          <w:rFonts w:hint="eastAsia" w:ascii="仿宋" w:hAnsi="仿宋" w:eastAsia="仿宋" w:cs="仿宋"/>
        </w:rPr>
        <w:t>还有一些定义有待学习例如：Modular System、Modular System Interface、Open Systems Acquisition of Weapons Systems、system、interface、松耦合、强内聚、互操作……</w:t>
      </w:r>
    </w:p>
    <w:p w14:paraId="082C826B">
      <w:pPr>
        <w:spacing w:line="300" w:lineRule="auto"/>
        <w:ind w:firstLine="480" w:firstLineChars="200"/>
        <w:rPr>
          <w:rFonts w:ascii="仿宋" w:hAnsi="仿宋" w:eastAsia="仿宋" w:cs="仿宋"/>
        </w:rPr>
      </w:pPr>
      <w:r>
        <w:rPr>
          <w:rFonts w:hint="eastAsia" w:ascii="仿宋" w:hAnsi="仿宋" w:eastAsia="仿宋" w:cs="仿宋"/>
        </w:rPr>
        <w:t>还需从FACE中学习对软件开放架构的理解，回头再完善。</w:t>
      </w:r>
    </w:p>
    <w:p w14:paraId="2E93F0CE">
      <w:pPr>
        <w:pStyle w:val="3"/>
        <w:numPr>
          <w:ilvl w:val="0"/>
          <w:numId w:val="1"/>
        </w:numPr>
      </w:pPr>
      <w:r>
        <w:rPr>
          <w:rFonts w:hint="eastAsia"/>
        </w:rPr>
        <w:t>（软件）开放式架构的收益</w:t>
      </w:r>
    </w:p>
    <w:p w14:paraId="23244B52">
      <w:pPr>
        <w:spacing w:line="300" w:lineRule="auto"/>
        <w:ind w:firstLine="480" w:firstLineChars="200"/>
        <w:rPr>
          <w:rFonts w:hint="default" w:ascii="仿宋" w:hAnsi="仿宋" w:eastAsia="仿宋" w:cs="仿宋"/>
          <w:lang w:val="en-US" w:eastAsia="zh-CN"/>
        </w:rPr>
      </w:pPr>
      <w:r>
        <w:rPr>
          <w:rFonts w:hint="eastAsia" w:ascii="仿宋" w:hAnsi="仿宋" w:eastAsia="仿宋" w:cs="仿宋"/>
        </w:rPr>
        <w:t>在解决软件开放式架构是什么</w:t>
      </w:r>
      <w:r>
        <w:rPr>
          <w:rFonts w:hint="eastAsia" w:ascii="仿宋" w:hAnsi="仿宋" w:eastAsia="仿宋" w:cs="仿宋"/>
          <w:lang w:val="en-US" w:eastAsia="zh-CN"/>
        </w:rPr>
        <w:t>之</w:t>
      </w:r>
      <w:r>
        <w:rPr>
          <w:rFonts w:hint="eastAsia" w:ascii="仿宋" w:hAnsi="仿宋" w:eastAsia="仿宋" w:cs="仿宋"/>
        </w:rPr>
        <w:t>后，首要的问题是解决为什么要发展软件开放式架构</w:t>
      </w:r>
      <w:r>
        <w:rPr>
          <w:rFonts w:hint="eastAsia" w:ascii="仿宋" w:hAnsi="仿宋" w:eastAsia="仿宋" w:cs="仿宋"/>
          <w:lang w:eastAsia="zh-CN"/>
        </w:rPr>
        <w:t>，</w:t>
      </w:r>
      <w:r>
        <w:rPr>
          <w:rFonts w:hint="eastAsia" w:ascii="仿宋" w:hAnsi="仿宋" w:eastAsia="仿宋" w:cs="仿宋"/>
          <w:lang w:val="en-US" w:eastAsia="zh-CN"/>
        </w:rPr>
        <w:t>主要是软件开放式架构的收益。由于软件开放架构和开放架构的概念类似，优势相通，所以放在一起讨论，当前搜集的</w:t>
      </w:r>
      <w:r>
        <w:rPr>
          <w:rFonts w:hint="eastAsia" w:ascii="仿宋" w:hAnsi="仿宋" w:eastAsia="仿宋" w:cs="仿宋"/>
        </w:rPr>
        <w:t>优势如下图所示。</w:t>
      </w:r>
    </w:p>
    <w:p w14:paraId="44BCC68B">
      <w:pPr>
        <w:spacing w:line="300" w:lineRule="auto"/>
        <w:rPr>
          <w:rFonts w:hint="eastAsia" w:ascii="仿宋" w:hAnsi="仿宋" w:eastAsia="仿宋" w:cs="仿宋"/>
        </w:rPr>
      </w:pPr>
      <w:r>
        <w:rPr>
          <w:rFonts w:hint="eastAsia" w:ascii="仿宋" w:hAnsi="仿宋" w:eastAsia="仿宋" w:cs="仿宋"/>
        </w:rPr>
        <w:drawing>
          <wp:inline distT="0" distB="0" distL="0" distR="0">
            <wp:extent cx="5274310" cy="20961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74310" cy="2096135"/>
                    </a:xfrm>
                    <a:prstGeom prst="rect">
                      <a:avLst/>
                    </a:prstGeom>
                  </pic:spPr>
                </pic:pic>
              </a:graphicData>
            </a:graphic>
          </wp:inline>
        </w:drawing>
      </w:r>
    </w:p>
    <w:p w14:paraId="19B13D1E">
      <w:pPr>
        <w:spacing w:line="300" w:lineRule="auto"/>
        <w:ind w:firstLine="480" w:firstLineChars="200"/>
        <w:rPr>
          <w:rFonts w:hint="default" w:ascii="仿宋" w:hAnsi="仿宋" w:eastAsia="仿宋" w:cs="仿宋"/>
          <w:lang w:val="en-US" w:eastAsia="zh-CN"/>
        </w:rPr>
      </w:pPr>
      <w:r>
        <w:rPr>
          <w:rFonts w:hint="eastAsia" w:ascii="仿宋" w:hAnsi="仿宋" w:eastAsia="仿宋" w:cs="仿宋"/>
          <w:lang w:val="en-US" w:eastAsia="zh-CN"/>
        </w:rPr>
        <w:t>上图左侧为采用开放架构（开放系统方法）带来的收益，右侧为开放架构对系统带来的优势，可看作是对系统的收益。开放式架构或开放系统方法决定了开放系统的优势，开放系统的优势带来收益。收益的调研有多个来源，上图中灰色节点代表未重复的收益，白色为被重复提到的收益。</w:t>
      </w:r>
    </w:p>
    <w:p w14:paraId="18F26633">
      <w:pPr>
        <w:spacing w:line="300" w:lineRule="auto"/>
        <w:ind w:firstLine="480" w:firstLineChars="200"/>
        <w:rPr>
          <w:rFonts w:hint="eastAsia" w:ascii="仿宋" w:hAnsi="仿宋" w:eastAsia="仿宋" w:cs="仿宋"/>
          <w:lang w:val="en-US" w:eastAsia="zh-CN"/>
        </w:rPr>
      </w:pPr>
      <w:r>
        <w:rPr>
          <w:rFonts w:hint="eastAsia" w:ascii="仿宋" w:hAnsi="仿宋" w:eastAsia="仿宋" w:cs="仿宋"/>
          <w:lang w:val="en-US" w:eastAsia="zh-CN"/>
        </w:rPr>
        <w:t>开放式架构的核心优势包括：提升互操作性、增强竞争、促进技术更新、吸收创新成果、实现成本节约和进度缩短和实现增量开发。对上述核心优势进行简单解释如下所示。</w:t>
      </w:r>
    </w:p>
    <w:p w14:paraId="41B2C77D">
      <w:pPr>
        <w:numPr>
          <w:ilvl w:val="0"/>
          <w:numId w:val="3"/>
        </w:numPr>
        <w:spacing w:line="300" w:lineRule="auto"/>
        <w:ind w:firstLine="480" w:firstLineChars="200"/>
        <w:rPr>
          <w:rFonts w:hint="eastAsia" w:ascii="仿宋" w:hAnsi="仿宋" w:eastAsia="仿宋" w:cs="仿宋"/>
          <w:lang w:val="en-US" w:eastAsia="zh-CN"/>
        </w:rPr>
      </w:pPr>
      <w:r>
        <w:rPr>
          <w:rFonts w:hint="eastAsia" w:ascii="仿宋" w:hAnsi="仿宋" w:eastAsia="仿宋" w:cs="仿宋"/>
          <w:lang w:val="en-US" w:eastAsia="zh-CN"/>
        </w:rPr>
        <w:t>提升互操作性：通过允许可拆分的软件和硬件模块独立变更，确保不同系统组件之间的无缝集成与通信，从而提升互操作性。</w:t>
      </w:r>
      <w:r>
        <w:rPr>
          <w:rFonts w:hint="eastAsia" w:ascii="仿宋" w:hAnsi="仿宋" w:eastAsia="仿宋" w:cs="仿宋"/>
          <w:color w:val="FF0000"/>
          <w:lang w:val="en-US" w:eastAsia="zh-CN"/>
        </w:rPr>
        <w:t>（互操作性的定义）</w:t>
      </w:r>
    </w:p>
    <w:p w14:paraId="008D9C7C">
      <w:pPr>
        <w:numPr>
          <w:ilvl w:val="0"/>
          <w:numId w:val="3"/>
        </w:numPr>
        <w:spacing w:line="300" w:lineRule="auto"/>
        <w:ind w:firstLine="480" w:firstLineChars="200"/>
        <w:rPr>
          <w:rFonts w:hint="default" w:ascii="仿宋" w:hAnsi="仿宋" w:eastAsia="仿宋" w:cs="仿宋"/>
          <w:lang w:val="en-US" w:eastAsia="zh-CN"/>
        </w:rPr>
      </w:pPr>
      <w:r>
        <w:rPr>
          <w:rFonts w:hint="eastAsia" w:ascii="仿宋" w:hAnsi="仿宋" w:eastAsia="仿宋" w:cs="仿宋"/>
          <w:lang w:val="en-US" w:eastAsia="zh-CN"/>
        </w:rPr>
        <w:t>增强竞争：通过采用开放架构和可拆分模块，使组件能够在多元化供应商之间进行公平竞争，从而增强市场竞争、激发创造活力并有效降低成本。</w:t>
      </w:r>
    </w:p>
    <w:p w14:paraId="1462DAED">
      <w:pPr>
        <w:numPr>
          <w:ilvl w:val="0"/>
          <w:numId w:val="3"/>
        </w:numPr>
        <w:spacing w:line="300" w:lineRule="auto"/>
        <w:ind w:left="0" w:leftChars="0" w:firstLine="480" w:firstLineChars="200"/>
        <w:rPr>
          <w:rFonts w:hint="eastAsia" w:ascii="仿宋" w:hAnsi="仿宋" w:eastAsia="仿宋" w:cs="仿宋"/>
        </w:rPr>
      </w:pPr>
      <w:r>
        <w:rPr>
          <w:rFonts w:hint="eastAsia" w:ascii="仿宋" w:hAnsi="仿宋" w:eastAsia="仿宋" w:cs="仿宋"/>
          <w:lang w:val="en-US" w:eastAsia="zh-CN"/>
        </w:rPr>
        <w:t>促进技术更新：</w:t>
      </w:r>
      <w:r>
        <w:rPr>
          <w:rFonts w:hint="eastAsia" w:ascii="仿宋" w:hAnsi="仿宋" w:eastAsia="仿宋" w:cs="仿宋"/>
        </w:rPr>
        <w:t>通过</w:t>
      </w:r>
      <w:r>
        <w:rPr>
          <w:rFonts w:hint="eastAsia" w:ascii="仿宋" w:hAnsi="仿宋" w:eastAsia="仿宋" w:cs="仿宋"/>
          <w:lang w:val="en-US" w:eastAsia="zh-CN"/>
        </w:rPr>
        <w:t>扩展</w:t>
      </w:r>
      <w:r>
        <w:rPr>
          <w:rFonts w:hint="eastAsia" w:ascii="仿宋" w:hAnsi="仿宋" w:eastAsia="仿宋" w:cs="仿宋"/>
        </w:rPr>
        <w:t>新功能或替换</w:t>
      </w:r>
      <w:r>
        <w:rPr>
          <w:rFonts w:hint="eastAsia" w:ascii="仿宋" w:hAnsi="仿宋" w:eastAsia="仿宋" w:cs="仿宋"/>
          <w:lang w:val="en-US" w:eastAsia="zh-CN"/>
        </w:rPr>
        <w:t>旧</w:t>
      </w:r>
      <w:r>
        <w:rPr>
          <w:rFonts w:hint="eastAsia" w:ascii="仿宋" w:hAnsi="仿宋" w:eastAsia="仿宋" w:cs="仿宋"/>
        </w:rPr>
        <w:t>技术而无需变更系统内所有组件，实现高效的技术更新，确保系统持续保持先进性与作战效能。</w:t>
      </w:r>
    </w:p>
    <w:p w14:paraId="04A3D728">
      <w:pPr>
        <w:numPr>
          <w:ilvl w:val="0"/>
          <w:numId w:val="3"/>
        </w:numPr>
        <w:spacing w:line="300" w:lineRule="auto"/>
        <w:ind w:left="0" w:leftChars="0" w:firstLine="480" w:firstLineChars="200"/>
        <w:rPr>
          <w:rFonts w:hint="eastAsia" w:ascii="仿宋" w:hAnsi="仿宋" w:eastAsia="仿宋" w:cs="仿宋"/>
          <w:color w:val="FF0000"/>
          <w:lang w:val="en-US" w:eastAsia="zh-CN"/>
        </w:rPr>
      </w:pPr>
      <w:r>
        <w:rPr>
          <w:rFonts w:hint="eastAsia" w:ascii="仿宋" w:hAnsi="仿宋" w:eastAsia="仿宋" w:cs="仿宋"/>
          <w:color w:val="FF0000"/>
          <w:lang w:val="en-US" w:eastAsia="zh-CN"/>
        </w:rPr>
        <w:t>吸收创新成果：通过提供快速配置与重组现有资产的作战灵活性，有效满足急速变化的作战需求并应对新兴威胁，从而实现创新能力的有机融合。</w:t>
      </w:r>
    </w:p>
    <w:p w14:paraId="152C1225">
      <w:pPr>
        <w:numPr>
          <w:ilvl w:val="0"/>
          <w:numId w:val="3"/>
        </w:numPr>
        <w:spacing w:line="300" w:lineRule="auto"/>
        <w:ind w:left="0" w:leftChars="0" w:firstLine="480" w:firstLineChars="200"/>
        <w:rPr>
          <w:rFonts w:hint="eastAsia" w:ascii="仿宋" w:hAnsi="仿宋" w:eastAsia="仿宋" w:cs="仿宋"/>
          <w:lang w:val="en-US" w:eastAsia="zh-CN"/>
        </w:rPr>
      </w:pPr>
      <w:r>
        <w:rPr>
          <w:rFonts w:hint="eastAsia" w:ascii="仿宋" w:hAnsi="仿宋" w:eastAsia="仿宋" w:cs="仿宋"/>
          <w:lang w:val="en-US" w:eastAsia="zh-CN"/>
        </w:rPr>
        <w:t>节约/规避成本、缩短进度：全寿命周期内促进跨供应商的技术、模块与组件重用，减少重复开发工作、降低测试需求并高效利用既有投资，实现成本节约/成本规避/周期缩短。</w:t>
      </w:r>
    </w:p>
    <w:p w14:paraId="1F925285">
      <w:pPr>
        <w:numPr>
          <w:numId w:val="0"/>
        </w:numPr>
        <w:spacing w:line="300" w:lineRule="auto"/>
        <w:ind w:firstLine="420" w:firstLineChars="0"/>
        <w:rPr>
          <w:rFonts w:hint="default" w:ascii="仿宋" w:hAnsi="仿宋" w:eastAsia="仿宋" w:cs="仿宋"/>
          <w:lang w:val="en-US" w:eastAsia="zh-CN"/>
        </w:rPr>
      </w:pPr>
      <w:r>
        <w:rPr>
          <w:rFonts w:hint="eastAsia" w:ascii="仿宋" w:hAnsi="仿宋" w:eastAsia="仿宋" w:cs="仿宋"/>
          <w:lang w:val="en-US" w:eastAsia="zh-CN"/>
        </w:rPr>
        <w:t>开放架构使开放系统是具备了一些特点和优势，可以作为开放架构的附加收益。根据开放架构定义，开放架构将支持模块化、松耦合、强内聚的系统结构。这三个属性可以作为开放系统的基本属性。通过基本属性还可以衍生出一些其他属性包括：即插即用能力、互换性、可重用性、可扩展性、供应商独立性、灵活性和适应性、通用性、安全性和网络韧性等，</w:t>
      </w:r>
      <w:bookmarkStart w:id="0" w:name="_GoBack"/>
      <w:bookmarkEnd w:id="0"/>
      <w:r>
        <w:rPr>
          <w:rFonts w:hint="eastAsia" w:ascii="仿宋" w:hAnsi="仿宋" w:eastAsia="仿宋" w:cs="仿宋"/>
          <w:lang w:val="en-US" w:eastAsia="zh-CN"/>
        </w:rPr>
        <w:t>对这些性质的简单解释如下所示。</w:t>
      </w:r>
    </w:p>
    <w:p w14:paraId="2F757437">
      <w:pPr>
        <w:pStyle w:val="3"/>
        <w:numPr>
          <w:ilvl w:val="0"/>
          <w:numId w:val="1"/>
        </w:numPr>
      </w:pPr>
      <w:r>
        <w:rPr>
          <w:rFonts w:hint="eastAsia"/>
        </w:rPr>
        <w:t>美国发展现状</w:t>
      </w:r>
    </w:p>
    <w:p w14:paraId="47F82BB6">
      <w:pPr>
        <w:spacing w:line="300" w:lineRule="auto"/>
        <w:ind w:firstLine="480" w:firstLineChars="200"/>
        <w:rPr>
          <w:rFonts w:ascii="仿宋" w:hAnsi="仿宋" w:eastAsia="仿宋" w:cs="仿宋"/>
        </w:rPr>
      </w:pPr>
      <w:r>
        <w:rPr>
          <w:rFonts w:hint="eastAsia" w:ascii="仿宋" w:hAnsi="仿宋" w:eastAsia="仿宋" w:cs="仿宋"/>
        </w:rPr>
        <w:t>（虽最终目标是软件开放式架构，但当前调研还处于开放系统架构，还未继续深入到软件。）</w:t>
      </w:r>
    </w:p>
    <w:p w14:paraId="16B1B4C5">
      <w:pPr>
        <w:spacing w:line="300" w:lineRule="auto"/>
        <w:ind w:firstLine="480" w:firstLineChars="200"/>
        <w:rPr>
          <w:rFonts w:ascii="仿宋" w:hAnsi="仿宋" w:eastAsia="仿宋" w:cs="仿宋"/>
        </w:rPr>
      </w:pPr>
      <w:r>
        <w:rPr>
          <w:rFonts w:hint="eastAsia" w:ascii="仿宋" w:hAnsi="仿宋" w:eastAsia="仿宋" w:cs="仿宋"/>
        </w:rPr>
        <w:t>美国国防装备领域的开放式架构当前的顶层战略是模块化开放系统方法（MOSA），MOSA已有2</w:t>
      </w:r>
      <w:r>
        <w:rPr>
          <w:rFonts w:ascii="仿宋" w:hAnsi="仿宋" w:eastAsia="仿宋" w:cs="仿宋"/>
        </w:rPr>
        <w:t>0</w:t>
      </w:r>
      <w:r>
        <w:rPr>
          <w:rFonts w:hint="eastAsia" w:ascii="仿宋" w:hAnsi="仿宋" w:eastAsia="仿宋" w:cs="仿宋"/>
        </w:rPr>
        <w:t>年左右发展历史，在发展过程中经历了从分散到统一、从自愿到强制的过程。当前已形成在法律约束、国防部领导下，军队、产业界、标准组织、学术界等各利益相关方联合推进的发展局面。已在雷达、传感器、通信、机载软件等多领域产生了实践成果，顶层的设计正在不断完善和发展中。</w:t>
      </w:r>
    </w:p>
    <w:p w14:paraId="3A70A044">
      <w:pPr>
        <w:pStyle w:val="4"/>
      </w:pPr>
      <w:r>
        <w:rPr>
          <w:rFonts w:hint="eastAsia"/>
        </w:rPr>
        <w:t>4.</w:t>
      </w:r>
      <w:r>
        <w:t>1</w:t>
      </w:r>
      <w:r>
        <w:rPr>
          <w:rFonts w:hint="eastAsia"/>
        </w:rPr>
        <w:t>法律：</w:t>
      </w:r>
    </w:p>
    <w:p w14:paraId="0DC11B1C">
      <w:pPr>
        <w:spacing w:line="300" w:lineRule="auto"/>
        <w:ind w:firstLine="480" w:firstLineChars="200"/>
        <w:rPr>
          <w:rFonts w:ascii="仿宋" w:hAnsi="仿宋" w:eastAsia="仿宋" w:cs="仿宋"/>
        </w:rPr>
      </w:pPr>
      <w:r>
        <w:rPr>
          <w:rFonts w:hint="eastAsia" w:ascii="仿宋" w:hAnsi="仿宋" w:eastAsia="仿宋" w:cs="仿宋"/>
        </w:rPr>
        <w:t>MOSA被写入了美国的法律，采办中被作为采办过程中的强制要求。关于相关法律的调研内容如下图所示。</w:t>
      </w:r>
    </w:p>
    <w:p w14:paraId="4439C2CF">
      <w:pPr>
        <w:spacing w:line="300" w:lineRule="auto"/>
        <w:rPr>
          <w:rFonts w:ascii="仿宋" w:hAnsi="仿宋" w:eastAsia="仿宋" w:cs="仿宋"/>
        </w:rPr>
      </w:pPr>
      <w:r>
        <w:rPr>
          <w:rFonts w:hint="eastAsia" w:ascii="仿宋" w:hAnsi="仿宋" w:eastAsia="仿宋" w:cs="仿宋"/>
        </w:rPr>
        <w:drawing>
          <wp:inline distT="0" distB="0" distL="0" distR="0">
            <wp:extent cx="5274310" cy="32969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5274310" cy="3296920"/>
                    </a:xfrm>
                    <a:prstGeom prst="rect">
                      <a:avLst/>
                    </a:prstGeom>
                  </pic:spPr>
                </pic:pic>
              </a:graphicData>
            </a:graphic>
          </wp:inline>
        </w:drawing>
      </w:r>
    </w:p>
    <w:p w14:paraId="76F35D88">
      <w:pPr>
        <w:spacing w:line="300" w:lineRule="auto"/>
        <w:ind w:firstLine="480" w:firstLineChars="200"/>
        <w:rPr>
          <w:rFonts w:ascii="仿宋" w:hAnsi="仿宋" w:eastAsia="仿宋" w:cs="仿宋"/>
        </w:rPr>
      </w:pPr>
      <w:r>
        <w:rPr>
          <w:rFonts w:hint="eastAsia" w:ascii="仿宋" w:hAnsi="仿宋" w:eastAsia="仿宋" w:cs="仿宋"/>
        </w:rPr>
        <w:t>上图中左下角的彩图展现的是MOSA的立法时间线，来自于国防部2</w:t>
      </w:r>
      <w:r>
        <w:rPr>
          <w:rFonts w:ascii="仿宋" w:hAnsi="仿宋" w:eastAsia="仿宋" w:cs="仿宋"/>
        </w:rPr>
        <w:t>025</w:t>
      </w:r>
      <w:r>
        <w:rPr>
          <w:rFonts w:hint="eastAsia" w:ascii="仿宋" w:hAnsi="仿宋" w:eastAsia="仿宋" w:cs="仿宋"/>
        </w:rPr>
        <w:t>年发布的MOSA指南。其中较为重要的时间点MOSA的立法始于2</w:t>
      </w:r>
      <w:r>
        <w:rPr>
          <w:rFonts w:ascii="仿宋" w:hAnsi="仿宋" w:eastAsia="仿宋" w:cs="仿宋"/>
        </w:rPr>
        <w:t>015</w:t>
      </w:r>
      <w:r>
        <w:rPr>
          <w:rFonts w:hint="eastAsia" w:ascii="仿宋" w:hAnsi="仿宋" w:eastAsia="仿宋" w:cs="仿宋"/>
        </w:rPr>
        <w:t>年初，《2</w:t>
      </w:r>
      <w:r>
        <w:rPr>
          <w:rFonts w:ascii="仿宋" w:hAnsi="仿宋" w:eastAsia="仿宋" w:cs="仿宋"/>
        </w:rPr>
        <w:t>015</w:t>
      </w:r>
      <w:r>
        <w:rPr>
          <w:rFonts w:hint="eastAsia" w:ascii="仿宋" w:hAnsi="仿宋" w:eastAsia="仿宋" w:cs="仿宋"/>
        </w:rPr>
        <w:t>财年国防授权法案》简称</w:t>
      </w:r>
      <w:r>
        <w:rPr>
          <w:rFonts w:ascii="仿宋" w:hAnsi="仿宋" w:eastAsia="仿宋" w:cs="仿宋"/>
        </w:rPr>
        <w:t>NDAA 2015</w:t>
      </w:r>
      <w:r>
        <w:rPr>
          <w:rFonts w:hint="eastAsia" w:ascii="仿宋" w:hAnsi="仿宋" w:eastAsia="仿宋" w:cs="仿宋"/>
        </w:rPr>
        <w:t>，要求相关国防部副部长提交关于通过标准和架构规划模块化开放系统方法的报告。2</w:t>
      </w:r>
      <w:r>
        <w:rPr>
          <w:rFonts w:ascii="仿宋" w:hAnsi="仿宋" w:eastAsia="仿宋" w:cs="仿宋"/>
        </w:rPr>
        <w:t>016</w:t>
      </w:r>
      <w:r>
        <w:rPr>
          <w:rFonts w:hint="eastAsia" w:ascii="仿宋" w:hAnsi="仿宋" w:eastAsia="仿宋" w:cs="仿宋"/>
        </w:rPr>
        <w:t>年底</w:t>
      </w:r>
      <w:r>
        <w:rPr>
          <w:rFonts w:ascii="仿宋" w:hAnsi="仿宋" w:eastAsia="仿宋" w:cs="仿宋"/>
        </w:rPr>
        <w:t>NDAA 2017</w:t>
      </w:r>
      <w:r>
        <w:rPr>
          <w:rFonts w:hint="eastAsia" w:ascii="仿宋" w:hAnsi="仿宋" w:eastAsia="仿宋" w:cs="仿宋"/>
        </w:rPr>
        <w:t>是一个较为重要的节点，MOSA首次以要求被写入法律，要求国防重大采办项目（major</w:t>
      </w:r>
      <w:r>
        <w:rPr>
          <w:rFonts w:ascii="仿宋" w:hAnsi="仿宋" w:eastAsia="仿宋" w:cs="仿宋"/>
        </w:rPr>
        <w:t xml:space="preserve"> </w:t>
      </w:r>
      <w:r>
        <w:rPr>
          <w:rFonts w:hint="eastAsia" w:ascii="仿宋" w:hAnsi="仿宋" w:eastAsia="仿宋" w:cs="仿宋"/>
        </w:rPr>
        <w:t>defense</w:t>
      </w:r>
      <w:r>
        <w:rPr>
          <w:rFonts w:ascii="仿宋" w:hAnsi="仿宋" w:eastAsia="仿宋" w:cs="仿宋"/>
        </w:rPr>
        <w:t xml:space="preserve"> </w:t>
      </w:r>
      <w:r>
        <w:rPr>
          <w:rFonts w:hint="eastAsia" w:ascii="仿宋" w:hAnsi="仿宋" w:eastAsia="仿宋" w:cs="仿宋"/>
        </w:rPr>
        <w:t>acquisition</w:t>
      </w:r>
      <w:r>
        <w:rPr>
          <w:rFonts w:ascii="仿宋" w:hAnsi="仿宋" w:eastAsia="仿宋" w:cs="仿宋"/>
        </w:rPr>
        <w:t xml:space="preserve"> </w:t>
      </w:r>
      <w:r>
        <w:rPr>
          <w:rFonts w:hint="eastAsia" w:ascii="仿宋" w:hAnsi="仿宋" w:eastAsia="仿宋" w:cs="仿宋"/>
        </w:rPr>
        <w:t>program）应当（shall）最大限度采用MOSA。2</w:t>
      </w:r>
      <w:r>
        <w:rPr>
          <w:rFonts w:ascii="仿宋" w:hAnsi="仿宋" w:eastAsia="仿宋" w:cs="仿宋"/>
        </w:rPr>
        <w:t>021</w:t>
      </w:r>
      <w:r>
        <w:rPr>
          <w:rFonts w:hint="eastAsia" w:ascii="仿宋" w:hAnsi="仿宋" w:eastAsia="仿宋" w:cs="仿宋"/>
        </w:rPr>
        <w:t>年初，</w:t>
      </w:r>
      <w:r>
        <w:rPr>
          <w:rFonts w:ascii="仿宋" w:hAnsi="仿宋" w:eastAsia="仿宋" w:cs="仿宋"/>
        </w:rPr>
        <w:t>NDAA 2021</w:t>
      </w:r>
      <w:r>
        <w:rPr>
          <w:rFonts w:hint="eastAsia" w:ascii="仿宋" w:hAnsi="仿宋" w:eastAsia="仿宋" w:cs="仿宋"/>
        </w:rPr>
        <w:t>中将MOSA的使用范围从国防重大采办项目扩大到所有其他类型的国防采办项目,并更新了发条的编号。上图的时间线图中称NDAA</w:t>
      </w:r>
      <w:r>
        <w:rPr>
          <w:rFonts w:ascii="仿宋" w:hAnsi="仿宋" w:eastAsia="仿宋" w:cs="仿宋"/>
        </w:rPr>
        <w:t xml:space="preserve"> 2022</w:t>
      </w:r>
      <w:r>
        <w:rPr>
          <w:rFonts w:hint="eastAsia" w:ascii="仿宋" w:hAnsi="仿宋" w:eastAsia="仿宋" w:cs="仿宋"/>
        </w:rPr>
        <w:t>更新了法条编号，是错误表述，与美国法典不符。</w:t>
      </w:r>
    </w:p>
    <w:p w14:paraId="71581E8B">
      <w:pPr>
        <w:spacing w:line="300" w:lineRule="auto"/>
        <w:ind w:firstLine="480" w:firstLineChars="200"/>
        <w:rPr>
          <w:rFonts w:ascii="仿宋" w:hAnsi="仿宋" w:eastAsia="仿宋" w:cs="仿宋"/>
        </w:rPr>
      </w:pPr>
      <w:r>
        <w:rPr>
          <w:rFonts w:hint="eastAsia" w:ascii="仿宋" w:hAnsi="仿宋" w:eastAsia="仿宋" w:cs="仿宋"/>
        </w:rPr>
        <w:t>当前最新的MOSA相关法条收录于美国法典第4</w:t>
      </w:r>
      <w:r>
        <w:rPr>
          <w:rFonts w:ascii="仿宋" w:hAnsi="仿宋" w:eastAsia="仿宋" w:cs="仿宋"/>
        </w:rPr>
        <w:t>401</w:t>
      </w:r>
      <w:r>
        <w:rPr>
          <w:rFonts w:hint="eastAsia" w:ascii="仿宋" w:hAnsi="仿宋" w:eastAsia="仿宋" w:cs="仿宋"/>
        </w:rPr>
        <w:t>条至</w:t>
      </w:r>
      <w:r>
        <w:rPr>
          <w:rFonts w:ascii="仿宋" w:hAnsi="仿宋" w:eastAsia="仿宋" w:cs="仿宋"/>
        </w:rPr>
        <w:t>4403</w:t>
      </w:r>
      <w:r>
        <w:rPr>
          <w:rFonts w:hint="eastAsia" w:ascii="仿宋" w:hAnsi="仿宋" w:eastAsia="仿宋" w:cs="仿宋"/>
        </w:rPr>
        <w:t>条（1</w:t>
      </w:r>
      <w:r>
        <w:rPr>
          <w:rFonts w:ascii="仿宋" w:hAnsi="仿宋" w:eastAsia="仿宋" w:cs="仿宋"/>
        </w:rPr>
        <w:t xml:space="preserve">0 </w:t>
      </w:r>
      <w:r>
        <w:rPr>
          <w:rFonts w:hint="eastAsia" w:ascii="仿宋" w:hAnsi="仿宋" w:eastAsia="仿宋" w:cs="仿宋"/>
        </w:rPr>
        <w:t>U.</w:t>
      </w:r>
      <w:r>
        <w:rPr>
          <w:rFonts w:ascii="仿宋" w:hAnsi="仿宋" w:eastAsia="仿宋" w:cs="仿宋"/>
        </w:rPr>
        <w:t>S.C 4401-4403</w:t>
      </w:r>
      <w:r>
        <w:rPr>
          <w:rFonts w:hint="eastAsia" w:ascii="仿宋" w:hAnsi="仿宋" w:eastAsia="仿宋" w:cs="仿宋"/>
        </w:rPr>
        <w:t>）其中最重要的为4</w:t>
      </w:r>
      <w:r>
        <w:rPr>
          <w:rFonts w:ascii="仿宋" w:hAnsi="仿宋" w:eastAsia="仿宋" w:cs="仿宋"/>
        </w:rPr>
        <w:t>401</w:t>
      </w:r>
      <w:r>
        <w:rPr>
          <w:rFonts w:hint="eastAsia" w:ascii="仿宋" w:hAnsi="仿宋" w:eastAsia="仿宋" w:cs="仿宋"/>
        </w:rPr>
        <w:t>条是总的要求，名为“重大国防采办项目中模块化开放系统方法的要求、定义”，主要包含对国防采办项目中应当（shall）采用MOSA的要求，以及对MOSA和一些相关名词的定义。4</w:t>
      </w:r>
      <w:r>
        <w:rPr>
          <w:rFonts w:ascii="仿宋" w:hAnsi="仿宋" w:eastAsia="仿宋" w:cs="仿宋"/>
        </w:rPr>
        <w:t>402</w:t>
      </w:r>
      <w:r>
        <w:rPr>
          <w:rFonts w:hint="eastAsia" w:ascii="仿宋" w:hAnsi="仿宋" w:eastAsia="仿宋" w:cs="仿宋"/>
        </w:rPr>
        <w:t>条为“采办项目能力开发与武器系统中需体现模块化系统方法的要求”，主要是对采办过程和武器系统设计过程中的要求相比4</w:t>
      </w:r>
      <w:r>
        <w:rPr>
          <w:rFonts w:ascii="仿宋" w:hAnsi="仿宋" w:eastAsia="仿宋" w:cs="仿宋"/>
        </w:rPr>
        <w:t>401</w:t>
      </w:r>
      <w:r>
        <w:rPr>
          <w:rFonts w:hint="eastAsia" w:ascii="仿宋" w:hAnsi="仿宋" w:eastAsia="仿宋" w:cs="仿宋"/>
        </w:rPr>
        <w:t>具体些，例如招标书中应包含对MOSA的说明，里程碑B（Milestone</w:t>
      </w:r>
      <w:r>
        <w:rPr>
          <w:rFonts w:ascii="仿宋" w:hAnsi="仿宋" w:eastAsia="仿宋" w:cs="仿宋"/>
        </w:rPr>
        <w:t xml:space="preserve"> </w:t>
      </w:r>
      <w:r>
        <w:rPr>
          <w:rFonts w:hint="eastAsia" w:ascii="仿宋" w:hAnsi="仿宋" w:eastAsia="仿宋" w:cs="仿宋"/>
        </w:rPr>
        <w:t>B）批准前需对MOSA进行确认等。</w:t>
      </w:r>
      <w:r>
        <w:rPr>
          <w:rFonts w:ascii="仿宋" w:hAnsi="仿宋" w:eastAsia="仿宋" w:cs="仿宋"/>
        </w:rPr>
        <w:t>4403</w:t>
      </w:r>
      <w:r>
        <w:rPr>
          <w:rFonts w:hint="eastAsia" w:ascii="仿宋" w:hAnsi="仿宋" w:eastAsia="仿宋" w:cs="仿宋"/>
        </w:rPr>
        <w:t>条则主要提出“关于主要系统接口可用性及支持模块化系统方法的要求”。</w:t>
      </w:r>
    </w:p>
    <w:p w14:paraId="5C98A950">
      <w:pPr>
        <w:spacing w:line="300" w:lineRule="auto"/>
        <w:ind w:firstLine="480" w:firstLineChars="200"/>
        <w:rPr>
          <w:rFonts w:ascii="仿宋" w:hAnsi="仿宋" w:eastAsia="仿宋" w:cs="仿宋"/>
        </w:rPr>
      </w:pPr>
      <w:r>
        <w:rPr>
          <w:rFonts w:hint="eastAsia" w:ascii="仿宋" w:hAnsi="仿宋" w:eastAsia="仿宋" w:cs="仿宋"/>
        </w:rPr>
        <w:t>针对MOSA的立法有一个显著的特点是其适用范围的扩大，可以体现MOSA向上的发展趋势。立法中对实施MOSA的基本要求，也可总结出部分发展开放式架构的启示：</w:t>
      </w:r>
    </w:p>
    <w:p w14:paraId="67A454C7">
      <w:pPr>
        <w:spacing w:line="300" w:lineRule="auto"/>
        <w:ind w:firstLine="480" w:firstLineChars="200"/>
        <w:rPr>
          <w:rFonts w:ascii="仿宋" w:hAnsi="仿宋" w:eastAsia="仿宋" w:cs="仿宋"/>
        </w:rPr>
      </w:pPr>
      <w:r>
        <w:rPr>
          <w:rFonts w:hint="eastAsia" w:ascii="仿宋" w:hAnsi="仿宋" w:eastAsia="仿宋" w:cs="仿宋"/>
        </w:rPr>
        <w:t>1</w:t>
      </w:r>
      <w:r>
        <w:rPr>
          <w:rFonts w:ascii="仿宋" w:hAnsi="仿宋" w:eastAsia="仿宋" w:cs="仿宋"/>
        </w:rPr>
        <w:t>.</w:t>
      </w:r>
      <w:r>
        <w:rPr>
          <w:rFonts w:hint="eastAsia" w:ascii="仿宋" w:hAnsi="仿宋" w:eastAsia="仿宋" w:cs="仿宋"/>
        </w:rPr>
        <w:t>将开放式架构作为一种强制要求推行（4</w:t>
      </w:r>
      <w:r>
        <w:rPr>
          <w:rFonts w:ascii="仿宋" w:hAnsi="仿宋" w:eastAsia="仿宋" w:cs="仿宋"/>
        </w:rPr>
        <w:t>401</w:t>
      </w:r>
      <w:r>
        <w:rPr>
          <w:rFonts w:hint="eastAsia" w:ascii="仿宋" w:hAnsi="仿宋" w:eastAsia="仿宋" w:cs="仿宋"/>
        </w:rPr>
        <w:t>）</w:t>
      </w:r>
    </w:p>
    <w:p w14:paraId="265533A8">
      <w:pPr>
        <w:spacing w:line="300" w:lineRule="auto"/>
        <w:ind w:firstLine="480" w:firstLineChars="200"/>
        <w:rPr>
          <w:rFonts w:ascii="仿宋" w:hAnsi="仿宋" w:eastAsia="仿宋" w:cs="仿宋"/>
        </w:rPr>
      </w:pPr>
      <w:r>
        <w:rPr>
          <w:rFonts w:ascii="仿宋" w:hAnsi="仿宋" w:eastAsia="仿宋" w:cs="仿宋"/>
        </w:rPr>
        <w:t>2.</w:t>
      </w:r>
      <w:r>
        <w:rPr>
          <w:rFonts w:hint="eastAsia" w:ascii="仿宋" w:hAnsi="仿宋" w:eastAsia="仿宋" w:cs="仿宋"/>
        </w:rPr>
        <w:t>将开放式架构融入设计、研发、验证等装备生命周期全流程；（4</w:t>
      </w:r>
      <w:r>
        <w:rPr>
          <w:rFonts w:ascii="仿宋" w:hAnsi="仿宋" w:eastAsia="仿宋" w:cs="仿宋"/>
        </w:rPr>
        <w:t>402</w:t>
      </w:r>
      <w:r>
        <w:rPr>
          <w:rFonts w:hint="eastAsia" w:ascii="仿宋" w:hAnsi="仿宋" w:eastAsia="仿宋" w:cs="仿宋"/>
        </w:rPr>
        <w:t>）</w:t>
      </w:r>
    </w:p>
    <w:p w14:paraId="2DAB73F2">
      <w:pPr>
        <w:spacing w:line="300" w:lineRule="auto"/>
        <w:ind w:firstLine="480" w:firstLineChars="200"/>
        <w:rPr>
          <w:rFonts w:ascii="仿宋" w:hAnsi="仿宋" w:eastAsia="仿宋" w:cs="仿宋"/>
        </w:rPr>
      </w:pPr>
      <w:r>
        <w:rPr>
          <w:rFonts w:ascii="仿宋" w:hAnsi="仿宋" w:eastAsia="仿宋" w:cs="仿宋"/>
        </w:rPr>
        <w:tab/>
      </w:r>
      <w:r>
        <w:rPr>
          <w:rFonts w:hint="eastAsia" w:ascii="仿宋" w:hAnsi="仿宋" w:eastAsia="仿宋" w:cs="仿宋"/>
        </w:rPr>
        <w:t>装备能力定义时和设计流程中更加考虑技术演进和装备升级。</w:t>
      </w:r>
    </w:p>
    <w:p w14:paraId="258BE26F">
      <w:pPr>
        <w:spacing w:line="300" w:lineRule="auto"/>
        <w:ind w:firstLine="480" w:firstLineChars="200"/>
        <w:rPr>
          <w:rFonts w:ascii="仿宋" w:hAnsi="仿宋" w:eastAsia="仿宋" w:cs="仿宋"/>
        </w:rPr>
      </w:pPr>
      <w:r>
        <w:rPr>
          <w:rFonts w:ascii="仿宋" w:hAnsi="仿宋" w:eastAsia="仿宋" w:cs="仿宋"/>
        </w:rPr>
        <w:tab/>
      </w:r>
      <w:r>
        <w:rPr>
          <w:rFonts w:hint="eastAsia" w:ascii="仿宋" w:hAnsi="仿宋" w:eastAsia="仿宋" w:cs="仿宋"/>
        </w:rPr>
        <w:t>装备研发过程中的流程标准增加对采用开放架构的相关要求，例如立项、合同、评审、验收等。</w:t>
      </w:r>
    </w:p>
    <w:p w14:paraId="027A75CC">
      <w:pPr>
        <w:spacing w:line="300" w:lineRule="auto"/>
        <w:ind w:firstLine="480" w:firstLineChars="200"/>
        <w:rPr>
          <w:rFonts w:ascii="仿宋" w:hAnsi="仿宋" w:eastAsia="仿宋" w:cs="仿宋"/>
        </w:rPr>
      </w:pPr>
      <w:r>
        <w:rPr>
          <w:rFonts w:ascii="仿宋" w:hAnsi="仿宋" w:eastAsia="仿宋" w:cs="仿宋"/>
        </w:rPr>
        <w:t>3.</w:t>
      </w:r>
      <w:r>
        <w:rPr>
          <w:rFonts w:hint="eastAsia" w:ascii="仿宋" w:hAnsi="仿宋" w:eastAsia="仿宋" w:cs="仿宋"/>
        </w:rPr>
        <w:t>特别注重系统接口（系统与体系、系统内组件间等）相关工作，例如标准化、开放性；（4</w:t>
      </w:r>
      <w:r>
        <w:rPr>
          <w:rFonts w:ascii="仿宋" w:hAnsi="仿宋" w:eastAsia="仿宋" w:cs="仿宋"/>
        </w:rPr>
        <w:t>403</w:t>
      </w:r>
      <w:r>
        <w:rPr>
          <w:rFonts w:hint="eastAsia" w:ascii="仿宋" w:hAnsi="仿宋" w:eastAsia="仿宋" w:cs="仿宋"/>
        </w:rPr>
        <w:t>）</w:t>
      </w:r>
    </w:p>
    <w:p w14:paraId="2F05D2CD">
      <w:pPr>
        <w:pStyle w:val="4"/>
      </w:pPr>
      <w:r>
        <w:rPr>
          <w:rFonts w:hint="eastAsia"/>
        </w:rPr>
        <w:t>4.</w:t>
      </w:r>
      <w:r>
        <w:t>2</w:t>
      </w:r>
      <w:r>
        <w:rPr>
          <w:rFonts w:hint="eastAsia"/>
        </w:rPr>
        <w:t>政府：</w:t>
      </w:r>
    </w:p>
    <w:p w14:paraId="0D74C517">
      <w:pPr>
        <w:spacing w:line="300" w:lineRule="auto"/>
        <w:ind w:firstLine="480" w:firstLineChars="200"/>
        <w:rPr>
          <w:rFonts w:ascii="仿宋" w:hAnsi="仿宋" w:eastAsia="仿宋" w:cs="仿宋"/>
        </w:rPr>
      </w:pPr>
      <w:r>
        <w:rPr>
          <w:rFonts w:hint="eastAsia" w:ascii="仿宋" w:hAnsi="仿宋" w:eastAsia="仿宋" w:cs="仿宋"/>
        </w:rPr>
        <w:t>开放式架构是美国政府（国防部）的一个重点关注领域，根据调研结果总结了美国防部机构与MOSA的关系如下图所示。</w:t>
      </w:r>
    </w:p>
    <w:p w14:paraId="53B9B9D4">
      <w:pPr>
        <w:spacing w:line="300" w:lineRule="auto"/>
        <w:jc w:val="center"/>
        <w:rPr>
          <w:rFonts w:ascii="仿宋" w:hAnsi="仿宋" w:eastAsia="仿宋" w:cs="仿宋"/>
        </w:rPr>
      </w:pPr>
      <w:r>
        <w:drawing>
          <wp:inline distT="0" distB="0" distL="0" distR="0">
            <wp:extent cx="5274310" cy="1367790"/>
            <wp:effectExtent l="0" t="0" r="889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5274310" cy="1367790"/>
                    </a:xfrm>
                    <a:prstGeom prst="rect">
                      <a:avLst/>
                    </a:prstGeom>
                  </pic:spPr>
                </pic:pic>
              </a:graphicData>
            </a:graphic>
          </wp:inline>
        </w:drawing>
      </w:r>
    </w:p>
    <w:p w14:paraId="171AD5E1">
      <w:pPr>
        <w:spacing w:line="300" w:lineRule="auto"/>
        <w:ind w:firstLine="480" w:firstLineChars="200"/>
      </w:pPr>
      <w:r>
        <w:rPr>
          <w:rFonts w:hint="eastAsia" w:ascii="仿宋" w:hAnsi="仿宋" w:eastAsia="仿宋" w:cs="仿宋"/>
        </w:rPr>
        <w:t>国防部对开放系统架构的领导力度有加强的趋势。调研资料显示1</w:t>
      </w:r>
      <w:r>
        <w:rPr>
          <w:rFonts w:ascii="仿宋" w:hAnsi="仿宋" w:eastAsia="仿宋" w:cs="仿宋"/>
        </w:rPr>
        <w:t>994</w:t>
      </w:r>
      <w:r>
        <w:rPr>
          <w:rFonts w:hint="eastAsia" w:ascii="仿宋" w:hAnsi="仿宋" w:eastAsia="仿宋" w:cs="仿宋"/>
        </w:rPr>
        <w:t>年，国防部成立了开放系统联合任务组（Open</w:t>
      </w:r>
      <w:r>
        <w:rPr>
          <w:rFonts w:ascii="仿宋" w:hAnsi="仿宋" w:eastAsia="仿宋" w:cs="仿宋"/>
        </w:rPr>
        <w:t xml:space="preserve"> </w:t>
      </w:r>
      <w:r>
        <w:rPr>
          <w:rFonts w:hint="eastAsia" w:ascii="仿宋" w:hAnsi="仿宋" w:eastAsia="仿宋" w:cs="仿宋"/>
        </w:rPr>
        <w:t>System</w:t>
      </w:r>
      <w:r>
        <w:rPr>
          <w:rFonts w:ascii="仿宋" w:hAnsi="仿宋" w:eastAsia="仿宋" w:cs="仿宋"/>
        </w:rPr>
        <w:t xml:space="preserve"> </w:t>
      </w:r>
      <w:r>
        <w:rPr>
          <w:rFonts w:hint="eastAsia" w:ascii="仿宋" w:hAnsi="仿宋" w:eastAsia="仿宋" w:cs="仿宋"/>
        </w:rPr>
        <w:t>Joint</w:t>
      </w:r>
      <w:r>
        <w:rPr>
          <w:rFonts w:ascii="仿宋" w:hAnsi="仿宋" w:eastAsia="仿宋" w:cs="仿宋"/>
        </w:rPr>
        <w:t xml:space="preserve"> </w:t>
      </w:r>
      <w:r>
        <w:rPr>
          <w:rFonts w:hint="eastAsia" w:ascii="仿宋" w:hAnsi="仿宋" w:eastAsia="仿宋" w:cs="仿宋"/>
        </w:rPr>
        <w:t>Task</w:t>
      </w:r>
      <w:r>
        <w:rPr>
          <w:rFonts w:ascii="仿宋" w:hAnsi="仿宋" w:eastAsia="仿宋" w:cs="仿宋"/>
        </w:rPr>
        <w:t xml:space="preserve"> </w:t>
      </w:r>
      <w:r>
        <w:rPr>
          <w:rFonts w:hint="eastAsia" w:ascii="仿宋" w:hAnsi="仿宋" w:eastAsia="仿宋" w:cs="仿宋"/>
        </w:rPr>
        <w:t>Force，OSJTF）来进行开放系统架构的工作，尝试通过开放系统架构降低装备的成本和提高互操作性。2</w:t>
      </w:r>
      <w:r>
        <w:rPr>
          <w:rFonts w:ascii="仿宋" w:hAnsi="仿宋" w:eastAsia="仿宋" w:cs="仿宋"/>
        </w:rPr>
        <w:t>1</w:t>
      </w:r>
      <w:r>
        <w:rPr>
          <w:rFonts w:hint="eastAsia" w:ascii="仿宋" w:hAnsi="仿宋" w:eastAsia="仿宋" w:cs="仿宋"/>
        </w:rPr>
        <w:t>世纪初MOSA的概念被提出，并被整合到了国防部系统工程指导方针中，2</w:t>
      </w:r>
      <w:r>
        <w:rPr>
          <w:rFonts w:ascii="仿宋" w:hAnsi="仿宋" w:eastAsia="仿宋" w:cs="仿宋"/>
        </w:rPr>
        <w:t>004</w:t>
      </w:r>
      <w:r>
        <w:rPr>
          <w:rFonts w:hint="eastAsia" w:ascii="仿宋" w:hAnsi="仿宋" w:eastAsia="仿宋" w:cs="仿宋"/>
        </w:rPr>
        <w:t>年OSJTF工作组解散，之后MOSA在国防部采购程序中的应用不一。随着MOSA的立法推进，国防部又开展了相应的工作，2</w:t>
      </w:r>
      <w:r>
        <w:rPr>
          <w:rFonts w:ascii="仿宋" w:hAnsi="仿宋" w:eastAsia="仿宋" w:cs="仿宋"/>
        </w:rPr>
        <w:t>016</w:t>
      </w:r>
      <w:r>
        <w:rPr>
          <w:rFonts w:hint="eastAsia" w:ascii="仿宋" w:hAnsi="仿宋" w:eastAsia="仿宋" w:cs="仿宋"/>
        </w:rPr>
        <w:t>年负责研究和工程的副部长办公室成立了模块化开放系统工作组（Modular</w:t>
      </w:r>
      <w:r>
        <w:rPr>
          <w:rFonts w:ascii="仿宋" w:hAnsi="仿宋" w:eastAsia="仿宋" w:cs="仿宋"/>
        </w:rPr>
        <w:t xml:space="preserve"> </w:t>
      </w:r>
      <w:r>
        <w:rPr>
          <w:rFonts w:hint="eastAsia" w:ascii="仿宋" w:hAnsi="仿宋" w:eastAsia="仿宋" w:cs="仿宋"/>
        </w:rPr>
        <w:t>Open</w:t>
      </w:r>
      <w:r>
        <w:rPr>
          <w:rFonts w:ascii="仿宋" w:hAnsi="仿宋" w:eastAsia="仿宋" w:cs="仿宋"/>
        </w:rPr>
        <w:t xml:space="preserve"> </w:t>
      </w:r>
      <w:r>
        <w:rPr>
          <w:rFonts w:hint="eastAsia" w:ascii="仿宋" w:hAnsi="仿宋" w:eastAsia="仿宋" w:cs="仿宋"/>
        </w:rPr>
        <w:t>Working</w:t>
      </w:r>
      <w:r>
        <w:rPr>
          <w:rFonts w:ascii="仿宋" w:hAnsi="仿宋" w:eastAsia="仿宋" w:cs="仿宋"/>
        </w:rPr>
        <w:t xml:space="preserve"> </w:t>
      </w:r>
      <w:r>
        <w:rPr>
          <w:rFonts w:hint="eastAsia" w:ascii="仿宋" w:hAnsi="仿宋" w:eastAsia="仿宋" w:cs="仿宋"/>
        </w:rPr>
        <w:t>Group，MOSWG），同样2</w:t>
      </w:r>
      <w:r>
        <w:rPr>
          <w:rFonts w:ascii="仿宋" w:hAnsi="仿宋" w:eastAsia="仿宋" w:cs="仿宋"/>
        </w:rPr>
        <w:t>016</w:t>
      </w:r>
      <w:r>
        <w:rPr>
          <w:rFonts w:hint="eastAsia" w:ascii="仿宋" w:hAnsi="仿宋" w:eastAsia="仿宋" w:cs="仿宋"/>
        </w:rPr>
        <w:t>年在国防标准化委员会（Defense</w:t>
      </w:r>
      <w:r>
        <w:rPr>
          <w:rFonts w:ascii="仿宋" w:hAnsi="仿宋" w:eastAsia="仿宋" w:cs="仿宋"/>
        </w:rPr>
        <w:t xml:space="preserve"> Standardization Council,DSC</w:t>
      </w:r>
      <w:r>
        <w:rPr>
          <w:rFonts w:hint="eastAsia" w:ascii="仿宋" w:hAnsi="仿宋" w:eastAsia="仿宋" w:cs="仿宋"/>
        </w:rPr>
        <w:t>）的要求下，负责研究和工程的副部长办公室牵头成立了国防部MOSA技术标准工作组（DoD</w:t>
      </w:r>
      <w:r>
        <w:rPr>
          <w:rFonts w:ascii="仿宋" w:hAnsi="仿宋" w:eastAsia="仿宋" w:cs="仿宋"/>
        </w:rPr>
        <w:t xml:space="preserve"> </w:t>
      </w:r>
      <w:r>
        <w:rPr>
          <w:rFonts w:hint="eastAsia" w:ascii="仿宋" w:hAnsi="仿宋" w:eastAsia="仿宋" w:cs="仿宋"/>
        </w:rPr>
        <w:t>MOSA</w:t>
      </w:r>
      <w:r>
        <w:rPr>
          <w:rFonts w:ascii="仿宋" w:hAnsi="仿宋" w:eastAsia="仿宋" w:cs="仿宋"/>
        </w:rPr>
        <w:t xml:space="preserve"> </w:t>
      </w:r>
      <w:r>
        <w:rPr>
          <w:rFonts w:hint="eastAsia" w:ascii="仿宋" w:hAnsi="仿宋" w:eastAsia="仿宋" w:cs="仿宋"/>
        </w:rPr>
        <w:t>Technical</w:t>
      </w:r>
      <w:r>
        <w:rPr>
          <w:rFonts w:ascii="仿宋" w:hAnsi="仿宋" w:eastAsia="仿宋" w:cs="仿宋"/>
        </w:rPr>
        <w:t xml:space="preserve"> </w:t>
      </w:r>
      <w:r>
        <w:rPr>
          <w:rFonts w:hint="eastAsia" w:ascii="仿宋" w:hAnsi="仿宋" w:eastAsia="仿宋" w:cs="仿宋"/>
        </w:rPr>
        <w:t>Standards</w:t>
      </w:r>
      <w:r>
        <w:rPr>
          <w:rFonts w:ascii="仿宋" w:hAnsi="仿宋" w:eastAsia="仿宋" w:cs="仿宋"/>
        </w:rPr>
        <w:t xml:space="preserve"> </w:t>
      </w:r>
      <w:r>
        <w:rPr>
          <w:rFonts w:hint="eastAsia" w:ascii="仿宋" w:hAnsi="仿宋" w:eastAsia="仿宋" w:cs="仿宋"/>
        </w:rPr>
        <w:t>Working</w:t>
      </w:r>
      <w:r>
        <w:rPr>
          <w:rFonts w:ascii="仿宋" w:hAnsi="仿宋" w:eastAsia="仿宋" w:cs="仿宋"/>
        </w:rPr>
        <w:t xml:space="preserve"> </w:t>
      </w:r>
      <w:r>
        <w:rPr>
          <w:rFonts w:hint="eastAsia" w:ascii="仿宋" w:hAnsi="仿宋" w:eastAsia="仿宋" w:cs="仿宋"/>
        </w:rPr>
        <w:t>Group）两个工作组合作来开展MOSA的指导文件制定等相关工作，已推出了MOSA参考框架和实施指南等指导文件。</w:t>
      </w:r>
    </w:p>
    <w:p w14:paraId="7B8BE6BC">
      <w:pPr>
        <w:spacing w:line="300" w:lineRule="auto"/>
        <w:ind w:firstLine="480" w:firstLineChars="200"/>
        <w:rPr>
          <w:rFonts w:ascii="仿宋" w:hAnsi="仿宋" w:eastAsia="仿宋" w:cs="仿宋"/>
        </w:rPr>
      </w:pPr>
      <w:r>
        <w:rPr>
          <w:rFonts w:hint="eastAsia" w:ascii="仿宋" w:hAnsi="仿宋" w:eastAsia="仿宋" w:cs="仿宋"/>
        </w:rPr>
        <w:t>MOSA的专项工作与标准化工作联系紧密。国防部负责研究与工程的国防部副部长（USD R&amp;E）领导系统工程与架构办公室（Office of SE&amp;A），MOSA和国防标准计划（DSP）都作为该办公室的重点工作领域。在MOSA方面，2016年负责研究与工程的国防部副部长办公室（OUSD R&amp;E）成立了模块化开放系统工作组（MOSWG）（该工作组与Office of SE&amp;A的关系还未查证）。在标准化方面，该办公室的系统工程与架构首席副主任同时作为国防标准化执行官（DSE）领导国防标准化项目办公室（DSPO）开展国防标准化工作，同时在国防标准化委员会（DSC）中担任重要职务。2016年在DSC的要求下，国防部的系统工程办公室（DoD System Engineering office，与Office of SE&amp;A的关系未查证）牵头成立了国防部MOSA技术标准工作组（MOSA TSWG）。MOSSWG和TSWG相互协作开展MOSA相关工作，MOSSWG主要负责一些指导文件的指定工作，TSWG主要负责识别推广、应用过程中的通用标准、障碍、推动因素。MOSSWG的主要成果包括2020年发布了国防采办项目中的MOSA参考框架，2025年发布的MOSA实施指南等。</w:t>
      </w:r>
    </w:p>
    <w:p w14:paraId="411FBDDF">
      <w:pPr>
        <w:spacing w:line="300" w:lineRule="auto"/>
        <w:ind w:firstLine="480" w:firstLineChars="200"/>
        <w:rPr>
          <w:rFonts w:ascii="仿宋" w:hAnsi="仿宋" w:eastAsia="仿宋" w:cs="仿宋"/>
        </w:rPr>
      </w:pPr>
      <w:r>
        <w:rPr>
          <w:rFonts w:hint="eastAsia" w:ascii="仿宋" w:hAnsi="仿宋" w:eastAsia="仿宋" w:cs="仿宋"/>
        </w:rPr>
        <w:t>美国国防部对开放架构相关工作的重视程度不断提升，领导力度不断加大，也体现开放式架构向上发展的趋势，此外开放式架构工作与标准化工作紧密结合也可作为发展开放式架构的启示。</w:t>
      </w:r>
    </w:p>
    <w:p w14:paraId="79C3EC59">
      <w:pPr>
        <w:spacing w:line="300" w:lineRule="auto"/>
        <w:ind w:firstLine="480" w:firstLineChars="200"/>
        <w:rPr>
          <w:rFonts w:ascii="仿宋" w:hAnsi="仿宋" w:eastAsia="仿宋" w:cs="仿宋"/>
        </w:rPr>
      </w:pPr>
      <w:r>
        <w:rPr>
          <w:rFonts w:hint="eastAsia" w:ascii="仿宋" w:hAnsi="仿宋" w:eastAsia="仿宋" w:cs="仿宋"/>
        </w:rPr>
        <w:t>待办：</w:t>
      </w:r>
    </w:p>
    <w:p w14:paraId="6C4F1874">
      <w:pPr>
        <w:spacing w:line="300" w:lineRule="auto"/>
        <w:ind w:firstLine="480" w:firstLineChars="200"/>
        <w:rPr>
          <w:rFonts w:ascii="仿宋" w:hAnsi="仿宋" w:eastAsia="仿宋" w:cs="仿宋"/>
        </w:rPr>
      </w:pPr>
      <w:r>
        <w:rPr>
          <w:rFonts w:hint="eastAsia" w:ascii="仿宋" w:hAnsi="仿宋" w:eastAsia="仿宋" w:cs="仿宋"/>
        </w:rPr>
        <w:t>1.2004年到2016年间的开放式架构发展情况，为什么04年OSJTF解散，为什么2016年前后又重新重视；</w:t>
      </w:r>
    </w:p>
    <w:p w14:paraId="3169F960">
      <w:pPr>
        <w:spacing w:line="300" w:lineRule="auto"/>
        <w:ind w:firstLine="480" w:firstLineChars="200"/>
        <w:rPr>
          <w:rFonts w:ascii="仿宋" w:hAnsi="仿宋" w:eastAsia="仿宋" w:cs="仿宋"/>
        </w:rPr>
      </w:pPr>
      <w:r>
        <w:rPr>
          <w:rFonts w:hint="eastAsia" w:ascii="仿宋" w:hAnsi="仿宋" w:eastAsia="仿宋" w:cs="仿宋"/>
        </w:rPr>
        <w:t>2.MOSA标准化相关工作（MOSA TSWG的相关工作）；</w:t>
      </w:r>
    </w:p>
    <w:p w14:paraId="4990AC9E">
      <w:pPr>
        <w:spacing w:line="300" w:lineRule="auto"/>
        <w:ind w:firstLine="480" w:firstLineChars="200"/>
        <w:rPr>
          <w:rFonts w:ascii="仿宋" w:hAnsi="仿宋" w:eastAsia="仿宋" w:cs="仿宋"/>
        </w:rPr>
      </w:pPr>
      <w:r>
        <w:rPr>
          <w:rFonts w:hint="eastAsia" w:ascii="仿宋" w:hAnsi="仿宋" w:eastAsia="仿宋" w:cs="仿宋"/>
        </w:rPr>
        <w:t>3.有一些组织关系还没有梳理完成，例如：成立MOSSWG的明确机构，成立MOSA TSWG的明确机构，DSC在国防标准化中的角色等。</w:t>
      </w:r>
    </w:p>
    <w:p w14:paraId="4E3B13F2">
      <w:pPr>
        <w:pStyle w:val="4"/>
      </w:pPr>
      <w:r>
        <w:rPr>
          <w:rFonts w:hint="eastAsia"/>
        </w:rPr>
        <w:t>4.</w:t>
      </w:r>
      <w:r>
        <w:t>3</w:t>
      </w:r>
      <w:r>
        <w:rPr>
          <w:rFonts w:hint="eastAsia"/>
        </w:rPr>
        <w:t>实践：</w:t>
      </w:r>
    </w:p>
    <w:p w14:paraId="4B790FFE">
      <w:pPr>
        <w:pStyle w:val="4"/>
      </w:pPr>
      <w:r>
        <w:rPr>
          <w:rFonts w:hint="eastAsia"/>
        </w:rPr>
        <w:t>4.</w:t>
      </w:r>
      <w:r>
        <w:t>4</w:t>
      </w:r>
      <w:r>
        <w:rPr>
          <w:rFonts w:hint="eastAsia"/>
        </w:rPr>
        <w:t>总结：</w:t>
      </w:r>
    </w:p>
    <w:p w14:paraId="7E675E62">
      <w:pPr>
        <w:pStyle w:val="4"/>
      </w:pPr>
      <w:r>
        <w:rPr>
          <w:rFonts w:hint="eastAsia"/>
        </w:rPr>
        <w:t>4.</w:t>
      </w:r>
      <w:r>
        <w:t>5</w:t>
      </w:r>
      <w:r>
        <w:rPr>
          <w:rFonts w:hint="eastAsia"/>
        </w:rPr>
        <w:t>待办：</w:t>
      </w:r>
    </w:p>
    <w:p w14:paraId="5E9CD102">
      <w:pPr>
        <w:spacing w:line="300" w:lineRule="auto"/>
        <w:ind w:firstLine="480" w:firstLineChars="200"/>
        <w:rPr>
          <w:rFonts w:ascii="仿宋" w:hAnsi="仿宋" w:eastAsia="仿宋" w:cs="仿宋"/>
        </w:rPr>
      </w:pPr>
      <w:r>
        <w:rPr>
          <w:rFonts w:hint="eastAsia" w:ascii="仿宋" w:hAnsi="仿宋" w:eastAsia="仿宋" w:cs="仿宋"/>
        </w:rPr>
        <w:t>美国的</w:t>
      </w:r>
    </w:p>
    <w:p w14:paraId="410B19DC">
      <w:pPr>
        <w:spacing w:line="300" w:lineRule="auto"/>
        <w:ind w:firstLine="480" w:firstLineChars="200"/>
        <w:rPr>
          <w:rFonts w:ascii="仿宋" w:hAnsi="仿宋" w:eastAsia="仿宋" w:cs="仿宋"/>
        </w:rPr>
      </w:pPr>
      <w:r>
        <w:rPr>
          <w:rFonts w:hint="eastAsia" w:ascii="仿宋" w:hAnsi="仿宋" w:eastAsia="仿宋" w:cs="仿宋"/>
        </w:rPr>
        <w:t>还有一些定义有待学习例如：Modular System、Modular System Interface、Open Systems Acquisition of Weapons Systems、system、interface、松耦合、强内聚、互操作……</w:t>
      </w:r>
    </w:p>
    <w:p w14:paraId="61EBE87C">
      <w:r>
        <w:fldChar w:fldCharType="begin"/>
      </w:r>
      <w:r>
        <w:instrText xml:space="preserve"> HYPERLINK "https://www.aviationtoday.com/2004/02/01/perspective-the-mosa-approach-in-defense-acquisition/" </w:instrText>
      </w:r>
      <w:r>
        <w:fldChar w:fldCharType="separate"/>
      </w:r>
      <w:r>
        <w:rPr>
          <w:rStyle w:val="11"/>
        </w:rPr>
        <w:t>Perspective: The MOSA Approach in Defense Acquisition - Avionics International</w:t>
      </w:r>
      <w:r>
        <w:rPr>
          <w:rStyle w:val="11"/>
        </w:rPr>
        <w:fldChar w:fldCharType="end"/>
      </w:r>
    </w:p>
    <w:p w14:paraId="3242B58A">
      <w:r>
        <w:rPr>
          <w:rFonts w:hint="eastAsia"/>
        </w:rPr>
        <w:t>1994 年 11 月，美国国防部负责采购和技术的副部长制定了开放系统联合工作组 （OSJTF），以加速对武器系统电子采购开放系统的接受和理解。国防部 （DoD） 开放系统计划的总体目标是降低生命周期成本、更快地提供作战能力并增强互作性。</w:t>
      </w:r>
    </w:p>
    <w:p w14:paraId="443B3677"/>
    <w:p w14:paraId="2EA54A13">
      <w:r>
        <w:rPr>
          <w:rFonts w:hint="eastAsia"/>
        </w:rPr>
        <w:t>在这九年里，国防部对这些目标的相对重视发生了一些变化，非常关注解决已部署和新兴系统中的互作性问题。然而，随着国防部中以网络为中心的作战和战争 （NCOW） 概念的出现，开放系统计划在系统架构中发挥着更大的作用。设计和建造以网络为中心的武器系统的业务和技术要求迅速出现，将要求大幅度降低开发成本和进度。模块化开放系统方法 （MOSA） 是实现这一目标的基础。</w:t>
      </w:r>
    </w:p>
    <w:p w14:paraId="16178263"/>
    <w:p w14:paraId="1EF1CE62">
      <w:r>
        <w:rPr>
          <w:rFonts w:hint="eastAsia"/>
        </w:rPr>
        <w:t>倡导者和愤世嫉俗者都提出了许多开放系统的定义。其中许多定义是有争议的——有些将开放系统视为目的而不是手段。对某些人来说，系统完全非专有的概念是不现实的，并且可能会扼杀急需的创新，而这当然不是本意。</w:t>
      </w:r>
    </w:p>
    <w:p w14:paraId="3D8744D7"/>
    <w:p w14:paraId="0968D1A3">
      <w:r>
        <w:rPr>
          <w:rFonts w:hint="eastAsia"/>
        </w:rPr>
        <w:t>为了规避这个问题，OSJTF 选择定义一种模块化的开放系统方法，而不是关注系统本身。根据 OSJTF 的 MOSA 项目经理指南，MOSA 是一种集成的业务和技术战略，它采用模块化设计，并在适当的情况下使用由公认的行业标准组织发布和维护的广泛支持的、基于共识的标准来定义关键接口。</w:t>
      </w:r>
    </w:p>
    <w:p w14:paraId="153F126A"/>
    <w:p w14:paraId="2FB228D4">
      <w:r>
        <w:rPr>
          <w:rFonts w:hint="eastAsia"/>
        </w:rPr>
        <w:t>模块化设计具有以下特点：</w:t>
      </w:r>
    </w:p>
    <w:p w14:paraId="60D508F5"/>
    <w:p w14:paraId="67C584D4">
      <w:r>
        <w:rPr>
          <w:rFonts w:hint="eastAsia"/>
        </w:rPr>
        <w:t>划分为离散的、可扩展的、可重用的模块，由“隔离的、独立的功能元素”组成，</w:t>
      </w:r>
    </w:p>
    <w:p w14:paraId="1F85B373"/>
    <w:p w14:paraId="674214F9">
      <w:r>
        <w:rPr>
          <w:rFonts w:hint="eastAsia"/>
        </w:rPr>
        <w:t>严格使用严格的模块化接口定义，包括模块功能的面向对象描述，以及</w:t>
      </w:r>
    </w:p>
    <w:p w14:paraId="6D2B7842"/>
    <w:p w14:paraId="37B17A15">
      <w:r>
        <w:rPr>
          <w:rFonts w:hint="eastAsia"/>
        </w:rPr>
        <w:t>易于更换模块，并尽可能使用关键接口的通用行业标准。</w:t>
      </w:r>
    </w:p>
    <w:p w14:paraId="2EA54615"/>
    <w:p w14:paraId="157E4DED">
      <w:r>
        <w:rPr>
          <w:rFonts w:hint="eastAsia"/>
        </w:rPr>
        <w:t>MOSA 接口标准规定了各种元素（硬件和软件）之间的物理、功能和作关系，以允许互换性、互连性、兼容性和/或通信，并改善后勤支持。选择适当的标准应基于合理的市场研究和严格的系统工程流程的应用。</w:t>
      </w:r>
    </w:p>
    <w:p w14:paraId="29803CB7"/>
    <w:p w14:paraId="37A5F420">
      <w:r>
        <w:rPr>
          <w:rFonts w:hint="eastAsia"/>
        </w:rPr>
        <w:t>模块之间关键接口的首选实现使用开放标准。基于对维护概念、经济性问题、互作性需求以及技术或要求的未来演变的详细了解，选择这些接口是为了便于硬件和软件更换。使用开放标准可产生最大的生命周期成本效益。</w:t>
      </w:r>
    </w:p>
    <w:p w14:paraId="74933994"/>
    <w:p w14:paraId="4F14C752">
      <w:r>
        <w:rPr>
          <w:rFonts w:hint="eastAsia"/>
        </w:rPr>
        <w:t>最新的国防部指令 5000.1 于 2003 年 5 月 12 日要求在可行的情况下采用模块化、开放系统方法。MOSA被视为执行演进式获取和螺旋式发展战略的有效手段，这些战略被认为对于在有限资源的限制下及时获取武器系统至关重要。该指令是通用的，可以通过多种方式满足。它没有对系统设计施加特定的约束，但确实意味着开发具有通常与模块化和开放性相关的特征的系统。需要采取微妙的平衡行为来避免过于严格的设计要求，但要确定真正需要什么来满足国防部的目标成本、进度和互作性目标。</w:t>
      </w:r>
    </w:p>
    <w:p w14:paraId="6B2F65A2"/>
    <w:p w14:paraId="145AF7AF">
      <w:r>
        <w:rPr>
          <w:rFonts w:hint="eastAsia"/>
        </w:rPr>
        <w:t>OSJTF 还在开发其他工具：</w:t>
      </w:r>
    </w:p>
    <w:p w14:paraId="00DCA38F"/>
    <w:p w14:paraId="2B7B5428">
      <w:r>
        <w:rPr>
          <w:rFonts w:hint="eastAsia"/>
        </w:rPr>
        <w:t>MOSA 技术和业务指标——一组指标或属性，指示系统设计中存在必要的模块化开放系统特征;</w:t>
      </w:r>
    </w:p>
    <w:p w14:paraId="355846A5"/>
    <w:p w14:paraId="169AEB31">
      <w:r>
        <w:rPr>
          <w:rFonts w:hint="eastAsia"/>
        </w:rPr>
        <w:t>MOSA 计划评估和评级工具改编自管理和预算办公室，用于进行计划评估，以说明在里程碑审查中对开放系统政策的遵守情况;和</w:t>
      </w:r>
    </w:p>
    <w:p w14:paraId="503D7E52"/>
    <w:p w14:paraId="6223E4DE">
      <w:r>
        <w:rPr>
          <w:rFonts w:hint="eastAsia"/>
        </w:rPr>
        <w:t>MOSA 流程模型 – 一种基于 Web 的工具，适用于政府政策制定者、项目经理、行业业务规划者、开放系统架构师和军事系统组件供应商。</w:t>
      </w:r>
    </w:p>
    <w:p w14:paraId="16100F56"/>
    <w:p w14:paraId="0129254C">
      <w:r>
        <w:rPr>
          <w:rFonts w:hint="eastAsia"/>
        </w:rPr>
        <w:t>将开放系统应用于武器系统采购是一项重大的文化变革。有许多成功要报告，但仍有许多工作要做。</w:t>
      </w:r>
    </w:p>
    <w:p w14:paraId="228879ED">
      <w:pPr>
        <w:pStyle w:val="4"/>
      </w:pPr>
      <w:r>
        <w:rPr>
          <w:rFonts w:hint="eastAsia"/>
        </w:rPr>
        <w:t>3.1主导机构：</w:t>
      </w:r>
    </w:p>
    <w:p w14:paraId="68BA3E1B"/>
    <w:p w14:paraId="4BED8250">
      <w:pPr>
        <w:pStyle w:val="4"/>
      </w:pPr>
      <w:r>
        <w:rPr>
          <w:rFonts w:hint="eastAsia"/>
        </w:rPr>
        <w:t>资料汇总</w:t>
      </w:r>
    </w:p>
    <w:p w14:paraId="71AD19D1">
      <w:pPr>
        <w:adjustRightInd w:val="0"/>
        <w:snapToGrid w:val="0"/>
        <w:spacing w:line="560" w:lineRule="exact"/>
        <w:rPr>
          <w:b/>
          <w:bCs/>
          <w:sz w:val="32"/>
          <w:szCs w:val="32"/>
        </w:rPr>
      </w:pPr>
      <w:r>
        <w:rPr>
          <w:rFonts w:hint="eastAsia"/>
          <w:b/>
          <w:bCs/>
          <w:sz w:val="32"/>
          <w:szCs w:val="32"/>
        </w:rPr>
        <w:t>1.</w:t>
      </w:r>
      <w:r>
        <w:rPr>
          <w:b/>
          <w:bCs/>
          <w:sz w:val="32"/>
          <w:szCs w:val="32"/>
        </w:rPr>
        <w:t>1</w:t>
      </w:r>
      <w:r>
        <w:rPr>
          <w:rFonts w:hint="eastAsia"/>
          <w:b/>
          <w:bCs/>
          <w:sz w:val="32"/>
          <w:szCs w:val="32"/>
        </w:rPr>
        <w:t>国外现状</w:t>
      </w:r>
    </w:p>
    <w:p w14:paraId="18C45034">
      <w:pPr>
        <w:adjustRightInd w:val="0"/>
        <w:snapToGrid w:val="0"/>
        <w:spacing w:line="560" w:lineRule="exact"/>
        <w:rPr>
          <w:b/>
          <w:bCs/>
          <w:sz w:val="32"/>
          <w:szCs w:val="32"/>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2"/>
        <w:gridCol w:w="6645"/>
        <w:gridCol w:w="425"/>
      </w:tblGrid>
      <w:tr w14:paraId="01D5A8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3E45964F">
            <w:r>
              <w:rPr>
                <w:rFonts w:hint="eastAsia"/>
              </w:rPr>
              <w:t>资料主题</w:t>
            </w:r>
          </w:p>
        </w:tc>
        <w:tc>
          <w:tcPr>
            <w:tcW w:w="6266" w:type="dxa"/>
          </w:tcPr>
          <w:p w14:paraId="0EA4301D">
            <w:r>
              <w:rPr>
                <w:rFonts w:hint="eastAsia"/>
              </w:rPr>
              <w:t>资料地址</w:t>
            </w:r>
          </w:p>
        </w:tc>
        <w:tc>
          <w:tcPr>
            <w:tcW w:w="617" w:type="dxa"/>
          </w:tcPr>
          <w:p w14:paraId="4BD69317">
            <w:r>
              <w:rPr>
                <w:rFonts w:hint="eastAsia"/>
              </w:rPr>
              <w:t>来源</w:t>
            </w:r>
          </w:p>
        </w:tc>
      </w:tr>
      <w:tr w14:paraId="6BC52A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7CBE888D">
            <w:r>
              <w:rPr>
                <w:rFonts w:hint="eastAsia"/>
              </w:rPr>
              <w:t>DSP</w:t>
            </w:r>
          </w:p>
          <w:p w14:paraId="34897E1D"/>
        </w:tc>
        <w:tc>
          <w:tcPr>
            <w:tcW w:w="6266" w:type="dxa"/>
          </w:tcPr>
          <w:p w14:paraId="19B7F6E1">
            <w:r>
              <w:t>https://www.dsp.dla.mil/</w:t>
            </w:r>
          </w:p>
        </w:tc>
        <w:tc>
          <w:tcPr>
            <w:tcW w:w="617" w:type="dxa"/>
          </w:tcPr>
          <w:p w14:paraId="4186CF22">
            <w:pPr>
              <w:adjustRightInd w:val="0"/>
              <w:snapToGrid w:val="0"/>
              <w:spacing w:line="560" w:lineRule="exact"/>
            </w:pPr>
            <w:r>
              <w:rPr>
                <w:rFonts w:hint="eastAsia"/>
              </w:rPr>
              <w:t>DSP官网</w:t>
            </w:r>
          </w:p>
        </w:tc>
      </w:tr>
      <w:tr w14:paraId="14D946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05F9D16C">
            <w:r>
              <w:rPr>
                <w:rFonts w:hint="eastAsia"/>
              </w:rPr>
              <w:t>DSP</w:t>
            </w:r>
            <w:r>
              <w:t>-</w:t>
            </w:r>
            <w:r>
              <w:rPr>
                <w:rFonts w:hint="eastAsia"/>
              </w:rPr>
              <w:t>管理架构</w:t>
            </w:r>
          </w:p>
        </w:tc>
        <w:tc>
          <w:tcPr>
            <w:tcW w:w="6266" w:type="dxa"/>
          </w:tcPr>
          <w:p w14:paraId="5BE3E1B1">
            <w:r>
              <w:t>https://www.dsp.dla.mil/Home/Management-Structure/</w:t>
            </w:r>
          </w:p>
        </w:tc>
        <w:tc>
          <w:tcPr>
            <w:tcW w:w="617" w:type="dxa"/>
          </w:tcPr>
          <w:p w14:paraId="50562BC0">
            <w:pPr>
              <w:adjustRightInd w:val="0"/>
              <w:snapToGrid w:val="0"/>
              <w:spacing w:line="560" w:lineRule="exact"/>
            </w:pPr>
          </w:p>
        </w:tc>
      </w:tr>
      <w:tr w14:paraId="12DB35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6E73AAD1">
            <w:r>
              <w:rPr>
                <w:rFonts w:hint="eastAsia"/>
              </w:rPr>
              <w:t>DSP</w:t>
            </w:r>
            <w:r>
              <w:t>-</w:t>
            </w:r>
            <w:r>
              <w:rPr>
                <w:rFonts w:hint="eastAsia"/>
              </w:rPr>
              <w:t>历史</w:t>
            </w:r>
          </w:p>
        </w:tc>
        <w:tc>
          <w:tcPr>
            <w:tcW w:w="6266" w:type="dxa"/>
          </w:tcPr>
          <w:p w14:paraId="666D04D7">
            <w:r>
              <w:t>https://www.dsp.dla.mil/Home/History-of-the-DSP/</w:t>
            </w:r>
          </w:p>
        </w:tc>
        <w:tc>
          <w:tcPr>
            <w:tcW w:w="617" w:type="dxa"/>
          </w:tcPr>
          <w:p w14:paraId="7F5FA21D">
            <w:pPr>
              <w:adjustRightInd w:val="0"/>
              <w:snapToGrid w:val="0"/>
              <w:spacing w:line="560" w:lineRule="exact"/>
            </w:pPr>
          </w:p>
        </w:tc>
      </w:tr>
      <w:tr w14:paraId="487553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7EB1E8EB">
            <w:r>
              <w:rPr>
                <w:rFonts w:hint="eastAsia"/>
              </w:rPr>
              <w:t>DSP</w:t>
            </w:r>
            <w:r>
              <w:t>-</w:t>
            </w:r>
            <w:r>
              <w:rPr>
                <w:rFonts w:hint="eastAsia"/>
              </w:rPr>
              <w:t>宗旨使命愿景</w:t>
            </w:r>
          </w:p>
        </w:tc>
        <w:tc>
          <w:tcPr>
            <w:tcW w:w="6266" w:type="dxa"/>
          </w:tcPr>
          <w:p w14:paraId="0A417550">
            <w:r>
              <w:t>https://www.dsp.dla.mil/Home/Mission/</w:t>
            </w:r>
          </w:p>
        </w:tc>
        <w:tc>
          <w:tcPr>
            <w:tcW w:w="617" w:type="dxa"/>
          </w:tcPr>
          <w:p w14:paraId="0C3E2DF2">
            <w:pPr>
              <w:adjustRightInd w:val="0"/>
              <w:snapToGrid w:val="0"/>
              <w:spacing w:line="560" w:lineRule="exact"/>
            </w:pPr>
          </w:p>
        </w:tc>
      </w:tr>
      <w:tr w14:paraId="01F09E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57FE7979">
            <w:r>
              <w:rPr>
                <w:rFonts w:hint="eastAsia"/>
              </w:rPr>
              <w:t>SE</w:t>
            </w:r>
            <w:r>
              <w:t>&amp;A</w:t>
            </w:r>
            <w:r>
              <w:rPr>
                <w:rFonts w:hint="eastAsia"/>
              </w:rPr>
              <w:t xml:space="preserve"> DSP</w:t>
            </w:r>
          </w:p>
        </w:tc>
        <w:tc>
          <w:tcPr>
            <w:tcW w:w="6266" w:type="dxa"/>
          </w:tcPr>
          <w:p w14:paraId="5886F990">
            <w:r>
              <w:t>https://www.cto.mil/sea/dsp/</w:t>
            </w:r>
          </w:p>
        </w:tc>
        <w:tc>
          <w:tcPr>
            <w:tcW w:w="617" w:type="dxa"/>
          </w:tcPr>
          <w:p w14:paraId="4D20E4A6">
            <w:pPr>
              <w:adjustRightInd w:val="0"/>
              <w:snapToGrid w:val="0"/>
              <w:spacing w:line="560" w:lineRule="exact"/>
            </w:pPr>
          </w:p>
        </w:tc>
      </w:tr>
      <w:tr w14:paraId="62903A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06F3F750">
            <w:r>
              <w:rPr>
                <w:rFonts w:hint="eastAsia"/>
              </w:rPr>
              <w:t>三军MOSA备忘录</w:t>
            </w:r>
          </w:p>
        </w:tc>
        <w:tc>
          <w:tcPr>
            <w:tcW w:w="6266" w:type="dxa"/>
          </w:tcPr>
          <w:p w14:paraId="5863676B">
            <w:r>
              <w:t>https://www.dsp.dla.mil/Portals/26/Documents/PolicyAndGuidance/Memo-Modular%20Open%20Systems%20Approach%202024.pdf</w:t>
            </w:r>
          </w:p>
        </w:tc>
        <w:tc>
          <w:tcPr>
            <w:tcW w:w="617" w:type="dxa"/>
          </w:tcPr>
          <w:p w14:paraId="78835CE8">
            <w:pPr>
              <w:adjustRightInd w:val="0"/>
              <w:snapToGrid w:val="0"/>
              <w:spacing w:line="560" w:lineRule="exact"/>
            </w:pPr>
          </w:p>
        </w:tc>
      </w:tr>
      <w:tr w14:paraId="048AD3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52220577">
            <w:r>
              <w:t>SE&amp;A</w:t>
            </w:r>
            <w:r>
              <w:rPr>
                <w:rFonts w:hint="eastAsia"/>
              </w:rPr>
              <w:t>办公室</w:t>
            </w:r>
          </w:p>
        </w:tc>
        <w:tc>
          <w:tcPr>
            <w:tcW w:w="6266" w:type="dxa"/>
          </w:tcPr>
          <w:p w14:paraId="7E387773">
            <w:r>
              <w:t>https://www.cto.mil/sea/about/</w:t>
            </w:r>
          </w:p>
        </w:tc>
        <w:tc>
          <w:tcPr>
            <w:tcW w:w="617" w:type="dxa"/>
          </w:tcPr>
          <w:p w14:paraId="574B7315">
            <w:pPr>
              <w:adjustRightInd w:val="0"/>
              <w:snapToGrid w:val="0"/>
              <w:spacing w:line="560" w:lineRule="exact"/>
            </w:pPr>
          </w:p>
        </w:tc>
      </w:tr>
      <w:tr w14:paraId="050EAF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5CE6A481">
            <w:r>
              <w:rPr>
                <w:rFonts w:hint="eastAsia"/>
              </w:rPr>
              <w:t>国防采购项目中的MOSA参考框架</w:t>
            </w:r>
          </w:p>
        </w:tc>
        <w:tc>
          <w:tcPr>
            <w:tcW w:w="6266" w:type="dxa"/>
          </w:tcPr>
          <w:p w14:paraId="1741C5DA">
            <w:r>
              <w:t>https://www.cto.mil/wp-content/uploads/2023/06/MOSA-Framework-2020.pdf</w:t>
            </w:r>
          </w:p>
        </w:tc>
        <w:tc>
          <w:tcPr>
            <w:tcW w:w="617" w:type="dxa"/>
          </w:tcPr>
          <w:p w14:paraId="514FFFA1">
            <w:pPr>
              <w:adjustRightInd w:val="0"/>
              <w:snapToGrid w:val="0"/>
              <w:spacing w:line="560" w:lineRule="exact"/>
            </w:pPr>
          </w:p>
        </w:tc>
      </w:tr>
      <w:tr w14:paraId="285CD2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1F73D1A2">
            <w:r>
              <w:rPr>
                <w:rFonts w:hint="eastAsia"/>
              </w:rPr>
              <w:t>MOSA</w:t>
            </w:r>
          </w:p>
        </w:tc>
        <w:tc>
          <w:tcPr>
            <w:tcW w:w="6266" w:type="dxa"/>
          </w:tcPr>
          <w:p w14:paraId="393E0526">
            <w:r>
              <w:t>https://www.dau.edu/acquipedia-article/modular-open-systems-approach-mosa</w:t>
            </w:r>
          </w:p>
        </w:tc>
        <w:tc>
          <w:tcPr>
            <w:tcW w:w="617" w:type="dxa"/>
          </w:tcPr>
          <w:p w14:paraId="1B585FB8">
            <w:pPr>
              <w:adjustRightInd w:val="0"/>
              <w:snapToGrid w:val="0"/>
              <w:spacing w:line="560" w:lineRule="exact"/>
            </w:pPr>
          </w:p>
        </w:tc>
      </w:tr>
      <w:tr w14:paraId="07B99C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0BFD10F2">
            <w:r>
              <w:rPr>
                <w:rFonts w:hint="eastAsia"/>
              </w:rPr>
              <w:t>PPT</w:t>
            </w:r>
          </w:p>
        </w:tc>
        <w:tc>
          <w:tcPr>
            <w:tcW w:w="6266" w:type="dxa"/>
          </w:tcPr>
          <w:p w14:paraId="067FCB24">
            <w:r>
              <w:t>https://ndia.dtic.mil/wp-content/uploads/2022/systems/Wed_24548_Geier.pdf</w:t>
            </w:r>
          </w:p>
        </w:tc>
        <w:tc>
          <w:tcPr>
            <w:tcW w:w="617" w:type="dxa"/>
          </w:tcPr>
          <w:p w14:paraId="6FA0D288">
            <w:pPr>
              <w:adjustRightInd w:val="0"/>
              <w:snapToGrid w:val="0"/>
              <w:spacing w:line="560" w:lineRule="exact"/>
            </w:pPr>
          </w:p>
        </w:tc>
      </w:tr>
      <w:tr w14:paraId="74A258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76C5EAC3"/>
        </w:tc>
        <w:tc>
          <w:tcPr>
            <w:tcW w:w="6266" w:type="dxa"/>
          </w:tcPr>
          <w:p w14:paraId="21CC43A9">
            <w:r>
              <w:t>https://www.dau.edu/acquisition-knowledge-matrix?field_acquisition_category_target_id=185150&amp;page=0</w:t>
            </w:r>
          </w:p>
        </w:tc>
        <w:tc>
          <w:tcPr>
            <w:tcW w:w="617" w:type="dxa"/>
          </w:tcPr>
          <w:p w14:paraId="344C77F2">
            <w:pPr>
              <w:adjustRightInd w:val="0"/>
              <w:snapToGrid w:val="0"/>
              <w:spacing w:line="560" w:lineRule="exact"/>
            </w:pPr>
          </w:p>
        </w:tc>
      </w:tr>
      <w:tr w14:paraId="22D9FD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1330D5EB">
            <w:r>
              <w:rPr>
                <w:rFonts w:hint="eastAsia"/>
              </w:rPr>
              <w:t>海军MOSA指南</w:t>
            </w:r>
          </w:p>
        </w:tc>
        <w:tc>
          <w:tcPr>
            <w:tcW w:w="6266" w:type="dxa"/>
          </w:tcPr>
          <w:p w14:paraId="538B4F98">
            <w:r>
              <w:t>https://www.cto.mil/wp-content/uploads/2025/05/Naval-MOSA-Implementation-Guide-V1.0.pdf</w:t>
            </w:r>
          </w:p>
        </w:tc>
        <w:tc>
          <w:tcPr>
            <w:tcW w:w="617" w:type="dxa"/>
          </w:tcPr>
          <w:p w14:paraId="22794F0A">
            <w:pPr>
              <w:adjustRightInd w:val="0"/>
              <w:snapToGrid w:val="0"/>
              <w:spacing w:line="560" w:lineRule="exact"/>
            </w:pPr>
          </w:p>
        </w:tc>
      </w:tr>
      <w:tr w14:paraId="5FD848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1FE9E8FB">
            <w:r>
              <w:t>Implementing a Modular Open Systems Approach in Department of Defense Programs</w:t>
            </w:r>
          </w:p>
        </w:tc>
        <w:tc>
          <w:tcPr>
            <w:tcW w:w="6266" w:type="dxa"/>
          </w:tcPr>
          <w:p w14:paraId="6B9B9A4E">
            <w:r>
              <w:t>https://www.cto.mil/wp-content/uploads/2025/03/MOSA-Implementation-Guidebook-27Feb2025-Cleared.pdf</w:t>
            </w:r>
          </w:p>
        </w:tc>
        <w:tc>
          <w:tcPr>
            <w:tcW w:w="617" w:type="dxa"/>
          </w:tcPr>
          <w:p w14:paraId="4B7B9A39">
            <w:pPr>
              <w:adjustRightInd w:val="0"/>
              <w:snapToGrid w:val="0"/>
              <w:spacing w:line="560" w:lineRule="exact"/>
            </w:pPr>
          </w:p>
        </w:tc>
      </w:tr>
      <w:tr w14:paraId="0AA8B6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0755235E">
            <w:r>
              <w:t xml:space="preserve">PEO Aviation MOSA </w:t>
            </w:r>
          </w:p>
          <w:p w14:paraId="683A71C9">
            <w:r>
              <w:t>Implementation Guide Skinny</w:t>
            </w:r>
          </w:p>
        </w:tc>
        <w:tc>
          <w:tcPr>
            <w:tcW w:w="6266" w:type="dxa"/>
          </w:tcPr>
          <w:p w14:paraId="252C2568">
            <w:r>
              <w:t>https://api.army.mil/e2/c/downloads/2021/08/17/8857ac93/peo-implementation-guide-skinny.pdf</w:t>
            </w:r>
          </w:p>
        </w:tc>
        <w:tc>
          <w:tcPr>
            <w:tcW w:w="617" w:type="dxa"/>
          </w:tcPr>
          <w:p w14:paraId="29A3C426">
            <w:pPr>
              <w:adjustRightInd w:val="0"/>
              <w:snapToGrid w:val="0"/>
              <w:spacing w:line="560" w:lineRule="exact"/>
            </w:pPr>
          </w:p>
        </w:tc>
      </w:tr>
      <w:tr w14:paraId="564E5B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05711E44">
            <w:r>
              <w:t>MOSA-Info-Sheet-Cleared</w:t>
            </w:r>
          </w:p>
        </w:tc>
        <w:tc>
          <w:tcPr>
            <w:tcW w:w="6266" w:type="dxa"/>
          </w:tcPr>
          <w:p w14:paraId="5FA2C9A7">
            <w:r>
              <w:t>https://www.cto.mil/wp-content/uploads/2025/03/MOSA-Info-Sheet-Cleared-20250314.pdf</w:t>
            </w:r>
          </w:p>
        </w:tc>
        <w:tc>
          <w:tcPr>
            <w:tcW w:w="617" w:type="dxa"/>
          </w:tcPr>
          <w:p w14:paraId="031EF94B">
            <w:pPr>
              <w:adjustRightInd w:val="0"/>
              <w:snapToGrid w:val="0"/>
              <w:spacing w:line="560" w:lineRule="exact"/>
            </w:pPr>
          </w:p>
        </w:tc>
      </w:tr>
      <w:tr w14:paraId="59C3E2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1722ED16">
            <w:r>
              <w:rPr>
                <w:rFonts w:hint="eastAsia"/>
              </w:rPr>
              <w:t>空军指南</w:t>
            </w:r>
          </w:p>
        </w:tc>
        <w:tc>
          <w:tcPr>
            <w:tcW w:w="6266" w:type="dxa"/>
          </w:tcPr>
          <w:p w14:paraId="31EE13AC">
            <w:r>
              <w:t>https://guide.dafdto.com/wp-content/uploads/2023/11/AFMC-Guidebook-for-Implementing-MOSA-in-Weapon-Systems_V2.0_Distro_A.pdf</w:t>
            </w:r>
          </w:p>
        </w:tc>
        <w:tc>
          <w:tcPr>
            <w:tcW w:w="617" w:type="dxa"/>
          </w:tcPr>
          <w:p w14:paraId="15758D8C">
            <w:pPr>
              <w:adjustRightInd w:val="0"/>
              <w:snapToGrid w:val="0"/>
              <w:spacing w:line="560" w:lineRule="exact"/>
            </w:pPr>
          </w:p>
        </w:tc>
      </w:tr>
    </w:tbl>
    <w:p w14:paraId="4AC568F7">
      <w:pPr>
        <w:adjustRightInd w:val="0"/>
        <w:snapToGrid w:val="0"/>
        <w:spacing w:line="560" w:lineRule="exact"/>
        <w:rPr>
          <w:b/>
          <w:bCs/>
          <w:sz w:val="32"/>
          <w:szCs w:val="32"/>
        </w:rPr>
      </w:pPr>
    </w:p>
    <w:p w14:paraId="1258B90E">
      <w:pPr>
        <w:adjustRightInd w:val="0"/>
        <w:snapToGrid w:val="0"/>
        <w:spacing w:line="560" w:lineRule="exact"/>
        <w:rPr>
          <w:b/>
          <w:bCs/>
          <w:sz w:val="32"/>
          <w:szCs w:val="32"/>
        </w:rPr>
      </w:pPr>
      <w:r>
        <w:rPr>
          <w:rFonts w:hint="eastAsia"/>
          <w:b/>
          <w:bCs/>
          <w:sz w:val="32"/>
          <w:szCs w:val="32"/>
        </w:rPr>
        <w:t>MOSA（Mo</w:t>
      </w:r>
      <w:r>
        <w:rPr>
          <w:b/>
          <w:bCs/>
          <w:sz w:val="32"/>
          <w:szCs w:val="32"/>
        </w:rPr>
        <w:t>dular Open Systems Approach</w:t>
      </w:r>
      <w:r>
        <w:rPr>
          <w:rFonts w:hint="eastAsia"/>
          <w:b/>
          <w:bCs/>
          <w:sz w:val="32"/>
          <w:szCs w:val="32"/>
        </w:rPr>
        <w:t>）模块化开放系统方法</w:t>
      </w:r>
    </w:p>
    <w:p w14:paraId="70C00215">
      <w:pPr>
        <w:adjustRightInd w:val="0"/>
        <w:snapToGrid w:val="0"/>
        <w:spacing w:line="560" w:lineRule="exact"/>
        <w:rPr>
          <w:b/>
          <w:bCs/>
          <w:sz w:val="32"/>
          <w:szCs w:val="32"/>
        </w:rPr>
      </w:pPr>
    </w:p>
    <w:p w14:paraId="111CE215">
      <w:pPr>
        <w:adjustRightInd w:val="0"/>
        <w:snapToGrid w:val="0"/>
        <w:spacing w:line="560" w:lineRule="exact"/>
        <w:rPr>
          <w:rFonts w:ascii="Segoe UI" w:hAnsi="Segoe UI" w:cs="Segoe UI"/>
          <w:shd w:val="clear" w:color="auto" w:fill="FFFFFF"/>
        </w:rPr>
      </w:pPr>
      <w:r>
        <w:rPr>
          <w:rFonts w:hint="eastAsia"/>
          <w:b/>
          <w:bCs/>
          <w:sz w:val="32"/>
          <w:szCs w:val="32"/>
        </w:rPr>
        <w:t xml:space="preserve">国防标准化计划 </w:t>
      </w:r>
      <w:r>
        <w:rPr>
          <w:rFonts w:ascii="Segoe UI" w:hAnsi="Segoe UI" w:cs="Segoe UI"/>
          <w:shd w:val="clear" w:color="auto" w:fill="FFFFFF"/>
        </w:rPr>
        <w:t>Defense Standardization Program (DSP)</w:t>
      </w:r>
    </w:p>
    <w:p w14:paraId="1C19FC40">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任务：</w:t>
      </w:r>
    </w:p>
    <w:p w14:paraId="2BEED4B4">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目的（Purpose）</w:t>
      </w:r>
    </w:p>
    <w:p w14:paraId="0462D2BD">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我们在整个国防部（DOD）倡导标准化，以降低成本并提高作战效能。</w:t>
      </w:r>
    </w:p>
    <w:p w14:paraId="5E3B4BDD">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使命（Mission）</w:t>
      </w:r>
    </w:p>
    <w:p w14:paraId="23DA47C3">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我们为作战人员、采办界和后勤界识别、影响、开发、管理并提供标准化流程、产品和服务的获取途径，以促进互操作性、降低总拥有成本并维持战备状态。</w:t>
      </w:r>
    </w:p>
    <w:p w14:paraId="07FFBB97">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愿景（Vision）</w:t>
      </w:r>
    </w:p>
    <w:p w14:paraId="78CC48B9">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DSP是一个全面、综合的标准化项目，连接国防部的采办、作战、保障以及相关的军事和民用领域。</w:t>
      </w:r>
    </w:p>
    <w:p w14:paraId="500EDC3D">
      <w:pPr>
        <w:adjustRightInd w:val="0"/>
        <w:snapToGrid w:val="0"/>
        <w:rPr>
          <w:rFonts w:ascii="Segoe UI" w:hAnsi="Segoe UI" w:cs="Segoe UI"/>
          <w:shd w:val="clear" w:color="auto" w:fill="FFFFFF"/>
        </w:rPr>
      </w:pPr>
    </w:p>
    <w:p w14:paraId="6523F3E3">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国防标准化计划历史：</w:t>
      </w:r>
      <w:r>
        <w:rPr>
          <w:rFonts w:ascii="Segoe UI" w:hAnsi="Segoe UI" w:cs="Segoe UI"/>
          <w:shd w:val="clear" w:color="auto" w:fill="FFFFFF"/>
        </w:rPr>
        <w:t>https://www.dsp.dla.mil/Home/History-of-the-DSP/</w:t>
      </w:r>
    </w:p>
    <w:p w14:paraId="2F50429A">
      <w:pPr>
        <w:adjustRightInd w:val="0"/>
        <w:snapToGrid w:val="0"/>
        <w:rPr>
          <w:b/>
          <w:bCs/>
          <w:sz w:val="32"/>
          <w:szCs w:val="32"/>
        </w:rPr>
      </w:pPr>
      <w:r>
        <w:rPr>
          <w:b/>
          <w:bCs/>
          <w:sz w:val="32"/>
          <w:szCs w:val="32"/>
        </w:rPr>
        <w:drawing>
          <wp:inline distT="0" distB="0" distL="0" distR="0">
            <wp:extent cx="3363595" cy="419481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365790" cy="4197715"/>
                    </a:xfrm>
                    <a:prstGeom prst="rect">
                      <a:avLst/>
                    </a:prstGeom>
                  </pic:spPr>
                </pic:pic>
              </a:graphicData>
            </a:graphic>
          </wp:inline>
        </w:drawing>
      </w:r>
    </w:p>
    <w:p w14:paraId="3517E071">
      <w:pPr>
        <w:adjustRightInd w:val="0"/>
        <w:snapToGrid w:val="0"/>
        <w:rPr>
          <w:b/>
          <w:bCs/>
          <w:sz w:val="32"/>
          <w:szCs w:val="32"/>
        </w:rPr>
      </w:pPr>
      <w:r>
        <w:rPr>
          <w:rFonts w:hint="eastAsia"/>
          <w:b/>
          <w:bCs/>
          <w:sz w:val="32"/>
          <w:szCs w:val="32"/>
        </w:rPr>
        <w:t>1</w:t>
      </w:r>
      <w:r>
        <w:rPr>
          <w:b/>
          <w:bCs/>
          <w:sz w:val="32"/>
          <w:szCs w:val="32"/>
        </w:rPr>
        <w:t>952</w:t>
      </w:r>
      <w:r>
        <w:rPr>
          <w:rFonts w:hint="eastAsia"/>
          <w:b/>
          <w:bCs/>
          <w:sz w:val="32"/>
          <w:szCs w:val="32"/>
        </w:rPr>
        <w:t>年7月1日前是所有联合标准化工作都是军事组织认识到标准化的好处并自愿共同努力投入资源和支持以换取未来利益的结果。1952 年 7 月 1 日，当第 82 届国会通过名为“国防编目和标准化法案”的第 436 号公法时，合作军事标准化工作的自愿性质成为法定</w:t>
      </w:r>
      <w:r>
        <w:rPr>
          <w:b/>
          <w:bCs/>
          <w:sz w:val="32"/>
          <w:szCs w:val="32"/>
        </w:rPr>
        <w:br w:type="textWrapping"/>
      </w:r>
      <w:r>
        <w:rPr>
          <w:rFonts w:hint="eastAsia"/>
          <w:b/>
          <w:bCs/>
          <w:sz w:val="32"/>
          <w:szCs w:val="32"/>
        </w:rPr>
        <w:t>在负责研究与工程的国防部副部长 （USD（R&amp;E）） 的领导下国防标准化计划办公室在国防标准化执行局和国防标准化委员会的监督下管理 DSP 的日常活动</w:t>
      </w:r>
    </w:p>
    <w:p w14:paraId="700A285D">
      <w:pPr>
        <w:adjustRightInd w:val="0"/>
        <w:snapToGrid w:val="0"/>
        <w:rPr>
          <w:b/>
          <w:bCs/>
          <w:sz w:val="32"/>
          <w:szCs w:val="32"/>
        </w:rPr>
      </w:pPr>
    </w:p>
    <w:p w14:paraId="50BB6568">
      <w:pPr>
        <w:adjustRightInd w:val="0"/>
        <w:snapToGrid w:val="0"/>
        <w:rPr>
          <w:b/>
          <w:bCs/>
          <w:sz w:val="32"/>
          <w:szCs w:val="32"/>
        </w:rPr>
      </w:pPr>
      <w:r>
        <w:rPr>
          <w:rFonts w:hint="eastAsia"/>
          <w:b/>
          <w:bCs/>
          <w:sz w:val="32"/>
          <w:szCs w:val="32"/>
        </w:rPr>
        <w:t>DSP包含MOSA</w:t>
      </w:r>
    </w:p>
    <w:p w14:paraId="402E16BB">
      <w:pPr>
        <w:adjustRightInd w:val="0"/>
        <w:snapToGrid w:val="0"/>
        <w:rPr>
          <w:b/>
          <w:bCs/>
          <w:sz w:val="32"/>
          <w:szCs w:val="32"/>
        </w:rPr>
      </w:pPr>
      <w:r>
        <w:rPr>
          <w:b/>
          <w:bCs/>
          <w:sz w:val="32"/>
          <w:szCs w:val="32"/>
        </w:rPr>
        <w:drawing>
          <wp:inline distT="0" distB="0" distL="0" distR="0">
            <wp:extent cx="4060190" cy="199707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4066692" cy="2000543"/>
                    </a:xfrm>
                    <a:prstGeom prst="rect">
                      <a:avLst/>
                    </a:prstGeom>
                  </pic:spPr>
                </pic:pic>
              </a:graphicData>
            </a:graphic>
          </wp:inline>
        </w:drawing>
      </w:r>
    </w:p>
    <w:p w14:paraId="432AD681">
      <w:pPr>
        <w:adjustRightInd w:val="0"/>
        <w:snapToGrid w:val="0"/>
        <w:rPr>
          <w:b/>
          <w:bCs/>
          <w:sz w:val="32"/>
          <w:szCs w:val="32"/>
        </w:rPr>
      </w:pPr>
      <w:r>
        <w:rPr>
          <w:b/>
          <w:bCs/>
          <w:sz w:val="32"/>
          <w:szCs w:val="32"/>
        </w:rPr>
        <w:t>https://www.dsp.dla.mil/Programs/</w:t>
      </w:r>
    </w:p>
    <w:p w14:paraId="5D73F325">
      <w:pPr>
        <w:adjustRightInd w:val="0"/>
        <w:snapToGrid w:val="0"/>
        <w:rPr>
          <w:rFonts w:ascii="Arial" w:hAnsi="Arial" w:cs="Arial"/>
          <w:color w:val="000000"/>
          <w:sz w:val="20"/>
          <w:szCs w:val="20"/>
          <w:shd w:val="clear" w:color="auto" w:fill="FFFFFF"/>
        </w:rPr>
      </w:pPr>
      <w:r>
        <w:rPr>
          <w:rFonts w:ascii="Arial" w:hAnsi="Arial" w:cs="Arial"/>
          <w:color w:val="000000"/>
          <w:sz w:val="20"/>
          <w:szCs w:val="20"/>
          <w:shd w:val="clear" w:color="auto" w:fill="FFFFFF"/>
        </w:rPr>
        <w:t>DSPO准备通过维护国内外多个网络以及与国防部组件、联邦机构和行业的主题专家一起参与材料标准化事务来确保完成 DSP 的使命。DSPO 的许多项目和举措都属于以下核心计划领域：</w:t>
      </w:r>
    </w:p>
    <w:p w14:paraId="4443BBF1">
      <w:pPr>
        <w:adjustRightInd w:val="0"/>
        <w:snapToGrid w:val="0"/>
        <w:rPr>
          <w:rFonts w:ascii="Arial" w:hAnsi="Arial" w:cs="Arial"/>
          <w:color w:val="000000"/>
          <w:sz w:val="20"/>
          <w:szCs w:val="20"/>
          <w:shd w:val="clear" w:color="auto" w:fill="FFFFFF"/>
        </w:rPr>
      </w:pPr>
    </w:p>
    <w:p w14:paraId="758DDCCC">
      <w:pPr>
        <w:adjustRightInd w:val="0"/>
        <w:snapToGrid w:val="0"/>
        <w:spacing w:line="560" w:lineRule="exact"/>
        <w:rPr>
          <w:b/>
          <w:bCs/>
          <w:sz w:val="32"/>
          <w:szCs w:val="32"/>
        </w:rPr>
      </w:pPr>
    </w:p>
    <w:p w14:paraId="5E5C6C8D">
      <w:pPr>
        <w:adjustRightInd w:val="0"/>
        <w:snapToGrid w:val="0"/>
        <w:spacing w:line="560" w:lineRule="exact"/>
        <w:rPr>
          <w:b/>
          <w:bCs/>
          <w:sz w:val="22"/>
          <w:szCs w:val="22"/>
        </w:rPr>
      </w:pPr>
      <w:r>
        <w:fldChar w:fldCharType="begin"/>
      </w:r>
      <w:r>
        <w:instrText xml:space="preserve"> HYPERLINK "https://www.dau.edu/search?search=MOSA" </w:instrText>
      </w:r>
      <w:r>
        <w:fldChar w:fldCharType="separate"/>
      </w:r>
      <w:r>
        <w:rPr>
          <w:rStyle w:val="11"/>
          <w:b/>
          <w:bCs/>
          <w:sz w:val="32"/>
          <w:szCs w:val="32"/>
        </w:rPr>
        <w:t>https://www.dau.edu/search?search=MOSA</w:t>
      </w:r>
      <w:r>
        <w:rPr>
          <w:rStyle w:val="11"/>
          <w:b/>
          <w:bCs/>
          <w:sz w:val="32"/>
          <w:szCs w:val="32"/>
        </w:rPr>
        <w:fldChar w:fldCharType="end"/>
      </w:r>
      <w:r>
        <w:rPr>
          <w:b/>
          <w:bCs/>
          <w:sz w:val="32"/>
          <w:szCs w:val="32"/>
        </w:rPr>
        <w:br w:type="textWrapping"/>
      </w:r>
      <w:r>
        <w:rPr>
          <w:rFonts w:hint="eastAsia"/>
          <w:b/>
          <w:bCs/>
          <w:sz w:val="32"/>
          <w:szCs w:val="32"/>
        </w:rPr>
        <w:t>更多资料</w:t>
      </w:r>
      <w:r>
        <w:rPr>
          <w:b/>
          <w:bCs/>
          <w:sz w:val="32"/>
          <w:szCs w:val="32"/>
        </w:rPr>
        <w:br w:type="textWrapping"/>
      </w:r>
      <w:r>
        <w:rPr>
          <w:rFonts w:hint="eastAsia"/>
          <w:b/>
          <w:bCs/>
          <w:sz w:val="22"/>
          <w:szCs w:val="22"/>
        </w:rPr>
        <w:t>1. 核心参考与政策类 (权威性高，用于指导工作)</w:t>
      </w:r>
    </w:p>
    <w:p w14:paraId="1ABD5389">
      <w:pPr>
        <w:adjustRightInd w:val="0"/>
        <w:snapToGrid w:val="0"/>
        <w:spacing w:line="560" w:lineRule="exact"/>
        <w:rPr>
          <w:b/>
          <w:bCs/>
          <w:sz w:val="22"/>
          <w:szCs w:val="22"/>
        </w:rPr>
      </w:pPr>
      <w:r>
        <w:rPr>
          <w:rFonts w:hint="eastAsia"/>
          <w:b/>
          <w:bCs/>
          <w:sz w:val="22"/>
          <w:szCs w:val="22"/>
        </w:rPr>
        <w:t>Acquipedia Article (Acquipedia 文章): 这是DAU的核心知识库，类似于维基百科。内容涵盖采办、技术、后勤等领域的术语、政策和流程，是官方的权威参考。</w:t>
      </w:r>
    </w:p>
    <w:p w14:paraId="6C3A8157">
      <w:pPr>
        <w:adjustRightInd w:val="0"/>
        <w:snapToGrid w:val="0"/>
        <w:spacing w:line="560" w:lineRule="exact"/>
        <w:rPr>
          <w:b/>
          <w:bCs/>
          <w:sz w:val="22"/>
          <w:szCs w:val="22"/>
        </w:rPr>
      </w:pPr>
      <w:r>
        <w:rPr>
          <w:rFonts w:hint="eastAsia"/>
          <w:b/>
          <w:bCs/>
          <w:sz w:val="22"/>
          <w:szCs w:val="22"/>
        </w:rPr>
        <w:t>Publications (出版物): 形式更正式的文档，如手册、指南、研究报告等，通常内容更深入、系统。</w:t>
      </w:r>
    </w:p>
    <w:p w14:paraId="1B80C6E4">
      <w:pPr>
        <w:adjustRightInd w:val="0"/>
        <w:snapToGrid w:val="0"/>
        <w:spacing w:line="560" w:lineRule="exact"/>
        <w:rPr>
          <w:b/>
          <w:bCs/>
          <w:sz w:val="22"/>
          <w:szCs w:val="22"/>
        </w:rPr>
      </w:pPr>
      <w:r>
        <w:rPr>
          <w:rFonts w:hint="eastAsia"/>
          <w:b/>
          <w:bCs/>
          <w:sz w:val="22"/>
          <w:szCs w:val="22"/>
        </w:rPr>
        <w:t>AAFDID Pages: 这很可能是 “空军联邦采办信息系统索引” 的相关页面，提供与空军采办系统相关的特定政策、程序和资源。</w:t>
      </w:r>
    </w:p>
    <w:p w14:paraId="365ADC0A">
      <w:pPr>
        <w:adjustRightInd w:val="0"/>
        <w:snapToGrid w:val="0"/>
        <w:spacing w:line="560" w:lineRule="exact"/>
        <w:rPr>
          <w:b/>
          <w:bCs/>
          <w:sz w:val="32"/>
          <w:szCs w:val="32"/>
        </w:rPr>
      </w:pPr>
      <w:r>
        <w:rPr>
          <w:rStyle w:val="16"/>
        </w:rPr>
        <w:t>Implementing a Modular Open Systems Approach in Department of Defense Programs</w:t>
      </w:r>
      <w:r>
        <w:rPr>
          <w:rStyle w:val="16"/>
        </w:rPr>
        <w:br w:type="textWrapping"/>
      </w:r>
      <w:r>
        <w:rPr>
          <w:rStyle w:val="16"/>
          <w:rFonts w:hint="eastAsia"/>
        </w:rPr>
        <w:t>已下载到本地</w:t>
      </w:r>
    </w:p>
    <w:p w14:paraId="56B842D9">
      <w:pPr>
        <w:adjustRightInd w:val="0"/>
        <w:snapToGrid w:val="0"/>
        <w:spacing w:line="560" w:lineRule="exact"/>
        <w:rPr>
          <w:b/>
          <w:bCs/>
          <w:sz w:val="32"/>
          <w:szCs w:val="32"/>
        </w:rPr>
      </w:pPr>
    </w:p>
    <w:p w14:paraId="75E96927">
      <w:pPr>
        <w:adjustRightInd w:val="0"/>
        <w:snapToGrid w:val="0"/>
        <w:spacing w:line="560" w:lineRule="exact"/>
        <w:rPr>
          <w:b/>
          <w:bCs/>
          <w:sz w:val="32"/>
          <w:szCs w:val="32"/>
        </w:rPr>
      </w:pPr>
      <w:r>
        <w:fldChar w:fldCharType="begin"/>
      </w:r>
      <w:r>
        <w:instrText xml:space="preserve"> HYPERLINK "https://www.gao.gov/products/gao-25-106931" </w:instrText>
      </w:r>
      <w:r>
        <w:fldChar w:fldCharType="separate"/>
      </w:r>
      <w:r>
        <w:rPr>
          <w:rStyle w:val="11"/>
          <w:b/>
          <w:bCs/>
          <w:sz w:val="32"/>
          <w:szCs w:val="32"/>
        </w:rPr>
        <w:t>https://www.gao.gov/products/gao-25-106931</w:t>
      </w:r>
      <w:r>
        <w:rPr>
          <w:rStyle w:val="11"/>
          <w:b/>
          <w:bCs/>
          <w:sz w:val="32"/>
          <w:szCs w:val="32"/>
        </w:rPr>
        <w:fldChar w:fldCharType="end"/>
      </w:r>
      <w:r>
        <w:rPr>
          <w:b/>
          <w:bCs/>
          <w:sz w:val="32"/>
          <w:szCs w:val="32"/>
        </w:rPr>
        <w:br w:type="textWrapping"/>
      </w:r>
      <w:r>
        <w:rPr>
          <w:rFonts w:hint="eastAsia"/>
          <w:b/>
          <w:bCs/>
          <w:sz w:val="32"/>
          <w:szCs w:val="32"/>
        </w:rPr>
        <w:t>美国政府问责局（U.S. Government Accountability Office，简称 GAO） 的官方网站。GAO 是美国国会下属的独立非党派联邦机构，核心职能是为国会提供客观、专业的审计、评估与调查服务，监督联邦政府的公共资金使用、政策执行与机构运作，确保政府行政效率与财政问责，堪称美国 “联邦政府的 watchdog（监督者）”。</w:t>
      </w:r>
    </w:p>
    <w:p w14:paraId="1673F3B5">
      <w:pPr>
        <w:adjustRightInd w:val="0"/>
        <w:snapToGrid w:val="0"/>
        <w:spacing w:line="560" w:lineRule="exact"/>
        <w:rPr>
          <w:b/>
          <w:bCs/>
          <w:sz w:val="32"/>
          <w:szCs w:val="32"/>
        </w:rPr>
      </w:pPr>
    </w:p>
    <w:p w14:paraId="79592803">
      <w:pPr>
        <w:adjustRightInd w:val="0"/>
        <w:snapToGrid w:val="0"/>
        <w:spacing w:line="560" w:lineRule="exact"/>
        <w:rPr>
          <w:b/>
          <w:bCs/>
          <w:sz w:val="32"/>
          <w:szCs w:val="32"/>
        </w:rPr>
      </w:pPr>
    </w:p>
    <w:p w14:paraId="6C61034F">
      <w:pPr>
        <w:adjustRightInd w:val="0"/>
        <w:snapToGrid w:val="0"/>
        <w:spacing w:line="560" w:lineRule="exact"/>
        <w:rPr>
          <w:b/>
          <w:bCs/>
          <w:sz w:val="32"/>
          <w:szCs w:val="32"/>
        </w:rPr>
      </w:pPr>
    </w:p>
    <w:p w14:paraId="60C8D03A">
      <w:pPr>
        <w:adjustRightInd w:val="0"/>
        <w:snapToGrid w:val="0"/>
        <w:spacing w:line="560" w:lineRule="exact"/>
        <w:rPr>
          <w:b/>
          <w:bCs/>
          <w:sz w:val="32"/>
          <w:szCs w:val="32"/>
        </w:rPr>
      </w:pPr>
      <w:r>
        <w:rPr>
          <w:b/>
          <w:bCs/>
          <w:sz w:val="32"/>
          <w:szCs w:val="32"/>
        </w:rPr>
        <w:t>https://www.navair.navy.mil/MOSA</w:t>
      </w:r>
    </w:p>
    <w:p w14:paraId="12E93BE1">
      <w:pPr>
        <w:adjustRightInd w:val="0"/>
        <w:snapToGrid w:val="0"/>
        <w:spacing w:line="560" w:lineRule="exact"/>
        <w:rPr>
          <w:b/>
          <w:bCs/>
          <w:sz w:val="32"/>
          <w:szCs w:val="32"/>
        </w:rPr>
      </w:pPr>
      <w:r>
        <w:rPr>
          <w:rFonts w:hint="eastAsia"/>
          <w:b/>
          <w:bCs/>
          <w:sz w:val="32"/>
          <w:szCs w:val="32"/>
        </w:rPr>
        <w:t>：美国海军航空系统司令部</w:t>
      </w:r>
    </w:p>
    <w:p w14:paraId="18AAF56A">
      <w:pPr>
        <w:adjustRightInd w:val="0"/>
        <w:snapToGrid w:val="0"/>
        <w:spacing w:line="560" w:lineRule="exact"/>
        <w:rPr>
          <w:b/>
          <w:bCs/>
          <w:sz w:val="32"/>
          <w:szCs w:val="32"/>
        </w:rPr>
      </w:pPr>
    </w:p>
    <w:p w14:paraId="7195B2B4">
      <w:pPr>
        <w:adjustRightInd w:val="0"/>
        <w:snapToGrid w:val="0"/>
        <w:spacing w:line="560" w:lineRule="exact"/>
        <w:rPr>
          <w:b/>
          <w:bCs/>
          <w:sz w:val="32"/>
          <w:szCs w:val="32"/>
        </w:rPr>
      </w:pPr>
      <w:r>
        <w:rPr>
          <w:b/>
          <w:bCs/>
          <w:sz w:val="32"/>
          <w:szCs w:val="32"/>
        </w:rPr>
        <w:t>https://www.afmc.af.mil/News/Article-Display/Article/3596199/afmc-engineering-releases-update-to-modular-open-systems-guidebook/</w:t>
      </w:r>
    </w:p>
    <w:p w14:paraId="16F5A35F">
      <w:pPr>
        <w:adjustRightInd w:val="0"/>
        <w:snapToGrid w:val="0"/>
        <w:spacing w:line="560" w:lineRule="exact"/>
        <w:rPr>
          <w:b/>
          <w:bCs/>
          <w:sz w:val="32"/>
          <w:szCs w:val="32"/>
        </w:rPr>
      </w:pPr>
    </w:p>
    <w:p w14:paraId="68893047">
      <w:pPr>
        <w:adjustRightInd w:val="0"/>
        <w:snapToGrid w:val="0"/>
        <w:spacing w:line="560" w:lineRule="exact"/>
        <w:rPr>
          <w:b/>
          <w:bCs/>
          <w:sz w:val="32"/>
          <w:szCs w:val="32"/>
        </w:rPr>
      </w:pPr>
      <w:r>
        <w:fldChar w:fldCharType="begin"/>
      </w:r>
      <w:r>
        <w:instrText xml:space="preserve"> HYPERLINK "https://www.acquisition.gov/afars/modular-open-systems-approach-mosa-10-u.s.-code-%C2%A7-4401" </w:instrText>
      </w:r>
      <w:r>
        <w:fldChar w:fldCharType="separate"/>
      </w:r>
      <w:r>
        <w:rPr>
          <w:rStyle w:val="11"/>
          <w:b/>
          <w:bCs/>
          <w:sz w:val="32"/>
          <w:szCs w:val="32"/>
        </w:rPr>
        <w:t>https://www.acquisition.gov/afars/modular-open-systems-approach-mosa-10-u.s.-code-%C2%A7-4401</w:t>
      </w:r>
      <w:r>
        <w:rPr>
          <w:rStyle w:val="11"/>
          <w:b/>
          <w:bCs/>
          <w:sz w:val="32"/>
          <w:szCs w:val="32"/>
        </w:rPr>
        <w:fldChar w:fldCharType="end"/>
      </w:r>
      <w:r>
        <w:rPr>
          <w:b/>
          <w:bCs/>
          <w:sz w:val="32"/>
          <w:szCs w:val="32"/>
        </w:rPr>
        <w:br w:type="textWrapping"/>
      </w:r>
      <w:r>
        <w:rPr>
          <w:rFonts w:hint="eastAsia"/>
          <w:b/>
          <w:bCs/>
          <w:sz w:val="32"/>
          <w:szCs w:val="32"/>
        </w:rPr>
        <w:t>暂未确定是什么</w:t>
      </w:r>
    </w:p>
    <w:p w14:paraId="720DF98B">
      <w:pPr>
        <w:adjustRightInd w:val="0"/>
        <w:snapToGrid w:val="0"/>
        <w:spacing w:line="560" w:lineRule="exact"/>
        <w:rPr>
          <w:b/>
          <w:bCs/>
          <w:sz w:val="32"/>
          <w:szCs w:val="32"/>
        </w:rPr>
      </w:pPr>
      <w:r>
        <w:rPr>
          <w:b/>
          <w:bCs/>
          <w:sz w:val="32"/>
          <w:szCs w:val="32"/>
        </w:rPr>
        <w:t>https://www.dau.edu/cop/mosa</w:t>
      </w:r>
    </w:p>
    <w:p w14:paraId="1D2B3CF7">
      <w:pPr>
        <w:adjustRightInd w:val="0"/>
        <w:snapToGrid w:val="0"/>
        <w:spacing w:line="560" w:lineRule="exact"/>
        <w:rPr>
          <w:b/>
          <w:bCs/>
          <w:sz w:val="32"/>
          <w:szCs w:val="32"/>
        </w:rPr>
      </w:pPr>
      <w:r>
        <w:rPr>
          <w:b/>
          <w:bCs/>
          <w:sz w:val="32"/>
          <w:szCs w:val="32"/>
        </w:rPr>
        <w:t>https://www.omg.org/mosa/</w:t>
      </w:r>
    </w:p>
    <w:p w14:paraId="1ECE7FC3">
      <w:pPr>
        <w:adjustRightInd w:val="0"/>
        <w:snapToGrid w:val="0"/>
        <w:spacing w:line="560" w:lineRule="exact"/>
      </w:pPr>
      <w:r>
        <w:rPr>
          <w:rFonts w:hint="eastAsia"/>
          <w:b/>
          <w:bCs/>
          <w:sz w:val="32"/>
          <w:szCs w:val="32"/>
        </w:rPr>
        <w:t>主要资料：</w:t>
      </w:r>
    </w:p>
    <w:p w14:paraId="73081FDF">
      <w:pPr>
        <w:adjustRightInd w:val="0"/>
        <w:snapToGrid w:val="0"/>
        <w:spacing w:line="560" w:lineRule="exact"/>
        <w:rPr>
          <w:b/>
          <w:bCs/>
          <w:sz w:val="32"/>
          <w:szCs w:val="32"/>
        </w:rPr>
      </w:pPr>
      <w:r>
        <w:fldChar w:fldCharType="begin"/>
      </w:r>
      <w:r>
        <w:instrText xml:space="preserve"> HYPERLINK "https://www.cto.mil/sea/mosa/" </w:instrText>
      </w:r>
      <w:r>
        <w:fldChar w:fldCharType="separate"/>
      </w:r>
      <w:r>
        <w:rPr>
          <w:rStyle w:val="11"/>
          <w:b/>
          <w:bCs/>
          <w:sz w:val="32"/>
          <w:szCs w:val="32"/>
        </w:rPr>
        <w:t>https://www.cto.mil/sea/mosa/</w:t>
      </w:r>
      <w:r>
        <w:rPr>
          <w:rStyle w:val="11"/>
          <w:b/>
          <w:bCs/>
          <w:sz w:val="32"/>
          <w:szCs w:val="32"/>
        </w:rPr>
        <w:fldChar w:fldCharType="end"/>
      </w:r>
    </w:p>
    <w:p w14:paraId="19BBAB85">
      <w:pPr>
        <w:adjustRightInd w:val="0"/>
        <w:snapToGrid w:val="0"/>
        <w:spacing w:line="560" w:lineRule="exact"/>
        <w:rPr>
          <w:b/>
          <w:bCs/>
          <w:sz w:val="32"/>
          <w:szCs w:val="32"/>
        </w:rPr>
      </w:pPr>
      <w:r>
        <w:rPr>
          <w:b/>
          <w:bCs/>
          <w:sz w:val="32"/>
          <w:szCs w:val="32"/>
        </w:rPr>
        <w:t>(</w:t>
      </w:r>
      <w:r>
        <w:rPr>
          <w:rFonts w:hint="eastAsia"/>
          <w:b/>
          <w:bCs/>
          <w:sz w:val="32"/>
          <w:szCs w:val="32"/>
        </w:rPr>
        <w:t>美国国防部的一个互联网站，使盟友美国公众随时了解国防部的研究开发工程技术事业方面的最新进展</w:t>
      </w:r>
      <w:r>
        <w:rPr>
          <w:b/>
          <w:bCs/>
          <w:sz w:val="32"/>
          <w:szCs w:val="32"/>
        </w:rPr>
        <w:t>)</w:t>
      </w:r>
    </w:p>
    <w:p w14:paraId="4FAFCA62">
      <w:pPr>
        <w:adjustRightInd w:val="0"/>
        <w:snapToGrid w:val="0"/>
        <w:spacing w:line="560" w:lineRule="exact"/>
        <w:rPr>
          <w:b/>
          <w:bCs/>
          <w:sz w:val="32"/>
          <w:szCs w:val="32"/>
        </w:rPr>
      </w:pPr>
      <w:r>
        <w:rPr>
          <w:rFonts w:hint="eastAsia"/>
          <w:b/>
          <w:bCs/>
          <w:sz w:val="32"/>
          <w:szCs w:val="32"/>
        </w:rPr>
        <w:t>网站下有一些资源、法条之类的</w:t>
      </w:r>
    </w:p>
    <w:p w14:paraId="25F3ECDE">
      <w:pPr>
        <w:adjustRightInd w:val="0"/>
        <w:snapToGrid w:val="0"/>
        <w:spacing w:line="560" w:lineRule="exact"/>
        <w:rPr>
          <w:b/>
          <w:bCs/>
          <w:sz w:val="32"/>
          <w:szCs w:val="32"/>
        </w:rPr>
      </w:pPr>
      <w:r>
        <w:rPr>
          <w:rFonts w:hint="eastAsia"/>
          <w:b/>
          <w:bCs/>
          <w:sz w:val="32"/>
          <w:szCs w:val="32"/>
        </w:rPr>
        <w:t xml:space="preserve"> </w:t>
      </w:r>
    </w:p>
    <w:p w14:paraId="19D2BD45">
      <w:pPr>
        <w:adjustRightInd w:val="0"/>
        <w:snapToGrid w:val="0"/>
        <w:spacing w:line="560" w:lineRule="exact"/>
        <w:rPr>
          <w:b/>
          <w:bCs/>
          <w:sz w:val="32"/>
          <w:szCs w:val="32"/>
        </w:rPr>
      </w:pPr>
      <w:r>
        <w:rPr>
          <w:b/>
          <w:bCs/>
          <w:sz w:val="32"/>
          <w:szCs w:val="32"/>
        </w:rPr>
        <w:t>https://www.dsp.dla.mil/Programs/MOSA/</w:t>
      </w:r>
    </w:p>
    <w:p w14:paraId="44B3B185">
      <w:pPr>
        <w:adjustRightInd w:val="0"/>
        <w:snapToGrid w:val="0"/>
        <w:spacing w:line="560" w:lineRule="exact"/>
        <w:rPr>
          <w:b/>
          <w:bCs/>
          <w:sz w:val="32"/>
          <w:szCs w:val="32"/>
        </w:rPr>
      </w:pPr>
      <w:r>
        <w:t>这个链接指向的是</w:t>
      </w:r>
      <w:r>
        <w:rPr>
          <w:rStyle w:val="9"/>
        </w:rPr>
        <w:t>DLA(Defense Logistics Agency) 的官方网站</w:t>
      </w:r>
      <w:r>
        <w:t>，即</w:t>
      </w:r>
      <w:r>
        <w:rPr>
          <w:rStyle w:val="9"/>
        </w:rPr>
        <w:t>美国国防后勤局</w:t>
      </w:r>
      <w:r>
        <w:t>的主页。DLA是美国国防部下属的一个关键机构，负责管理和提供全球范围内的后勤和物资支持，确保美国军队及其他政府机构的运营需求得到满足。</w:t>
      </w:r>
    </w:p>
    <w:p w14:paraId="3CAE10A9">
      <w:pPr>
        <w:adjustRightInd w:val="0"/>
        <w:snapToGrid w:val="0"/>
        <w:spacing w:line="560" w:lineRule="exact"/>
        <w:rPr>
          <w:b/>
          <w:bCs/>
          <w:sz w:val="32"/>
          <w:szCs w:val="32"/>
        </w:rPr>
      </w:pPr>
    </w:p>
    <w:p w14:paraId="7CC1F8F6">
      <w:pPr>
        <w:adjustRightInd w:val="0"/>
        <w:snapToGrid w:val="0"/>
        <w:spacing w:line="560" w:lineRule="exact"/>
        <w:rPr>
          <w:b/>
          <w:bCs/>
          <w:sz w:val="32"/>
          <w:szCs w:val="32"/>
        </w:rPr>
      </w:pPr>
      <w:r>
        <w:rPr>
          <w:rFonts w:hint="eastAsia"/>
          <w:b/>
          <w:bCs/>
          <w:sz w:val="32"/>
          <w:szCs w:val="32"/>
        </w:rPr>
        <w:t>FACE未来机载能力环境</w:t>
      </w:r>
    </w:p>
    <w:p w14:paraId="3878DFD7">
      <w:pPr>
        <w:adjustRightInd w:val="0"/>
        <w:snapToGrid w:val="0"/>
        <w:spacing w:line="560" w:lineRule="exact"/>
        <w:rPr>
          <w:b/>
          <w:bCs/>
          <w:sz w:val="32"/>
          <w:szCs w:val="32"/>
        </w:rPr>
      </w:pPr>
      <w:r>
        <w:rPr>
          <w:rFonts w:hint="eastAsia"/>
          <w:b/>
          <w:bCs/>
          <w:sz w:val="32"/>
          <w:szCs w:val="32"/>
        </w:rPr>
        <w:t>SOSA传感器开放式体系架构</w:t>
      </w:r>
    </w:p>
    <w:p w14:paraId="1030194B">
      <w:pPr>
        <w:adjustRightInd w:val="0"/>
        <w:snapToGrid w:val="0"/>
        <w:spacing w:line="560" w:lineRule="exact"/>
        <w:rPr>
          <w:b/>
          <w:bCs/>
          <w:sz w:val="32"/>
          <w:szCs w:val="32"/>
        </w:rPr>
      </w:pPr>
      <w:r>
        <w:rPr>
          <w:rFonts w:hint="eastAsia"/>
          <w:b/>
          <w:bCs/>
          <w:sz w:val="32"/>
          <w:szCs w:val="32"/>
        </w:rPr>
        <w:t>https://abaco.com/sosa 是 Abaco Systems 公司旗下聚焦 “传感器开放系统架构（SOSA™）” 的专题网页，</w:t>
      </w:r>
    </w:p>
    <w:p w14:paraId="20471216">
      <w:pPr>
        <w:adjustRightInd w:val="0"/>
        <w:snapToGrid w:val="0"/>
        <w:spacing w:line="560" w:lineRule="exact"/>
        <w:rPr>
          <w:b/>
          <w:bCs/>
          <w:sz w:val="32"/>
          <w:szCs w:val="32"/>
        </w:rPr>
      </w:pPr>
    </w:p>
    <w:p w14:paraId="618DA68A">
      <w:pPr>
        <w:adjustRightInd w:val="0"/>
        <w:snapToGrid w:val="0"/>
        <w:spacing w:line="560" w:lineRule="exact"/>
        <w:rPr>
          <w:b/>
          <w:bCs/>
          <w:sz w:val="32"/>
          <w:szCs w:val="32"/>
        </w:rPr>
      </w:pPr>
      <w:r>
        <w:rPr>
          <w:rFonts w:hint="eastAsia"/>
          <w:b/>
          <w:bCs/>
          <w:sz w:val="32"/>
          <w:szCs w:val="32"/>
        </w:rPr>
        <w:t>SCA开放式软件通信架构</w:t>
      </w:r>
    </w:p>
    <w:p w14:paraId="123AE017">
      <w:pPr>
        <w:adjustRightInd w:val="0"/>
        <w:snapToGrid w:val="0"/>
        <w:spacing w:line="560" w:lineRule="exact"/>
        <w:rPr>
          <w:b/>
          <w:bCs/>
          <w:sz w:val="32"/>
          <w:szCs w:val="32"/>
        </w:rPr>
      </w:pPr>
      <w:r>
        <w:rPr>
          <w:b/>
          <w:bCs/>
          <w:sz w:val="32"/>
          <w:szCs w:val="32"/>
        </w:rPr>
        <w:t>ROSA</w:t>
      </w:r>
      <w:r>
        <w:rPr>
          <w:rFonts w:hint="eastAsia"/>
          <w:b/>
          <w:bCs/>
          <w:sz w:val="32"/>
          <w:szCs w:val="32"/>
        </w:rPr>
        <w:t>雷达开放式系统架构</w:t>
      </w:r>
    </w:p>
    <w:p w14:paraId="77B391AB">
      <w:pPr>
        <w:adjustRightInd w:val="0"/>
        <w:snapToGrid w:val="0"/>
        <w:spacing w:line="560" w:lineRule="exact"/>
        <w:rPr>
          <w:b/>
          <w:bCs/>
          <w:sz w:val="32"/>
          <w:szCs w:val="32"/>
        </w:rPr>
      </w:pPr>
      <w:r>
        <w:rPr>
          <w:b/>
          <w:bCs/>
          <w:sz w:val="32"/>
          <w:szCs w:val="32"/>
        </w:rPr>
        <w:t>HOST</w:t>
      </w:r>
      <w:r>
        <w:rPr>
          <w:rFonts w:hint="eastAsia"/>
          <w:b/>
          <w:bCs/>
          <w:sz w:val="32"/>
          <w:szCs w:val="32"/>
        </w:rPr>
        <w:t>硬件开放式系统技术</w:t>
      </w:r>
    </w:p>
    <w:p w14:paraId="3EE8399E">
      <w:pPr>
        <w:adjustRightInd w:val="0"/>
        <w:snapToGrid w:val="0"/>
        <w:spacing w:line="560" w:lineRule="exact"/>
        <w:rPr>
          <w:b/>
          <w:bCs/>
          <w:sz w:val="32"/>
          <w:szCs w:val="32"/>
        </w:rPr>
      </w:pPr>
      <w:r>
        <w:rPr>
          <w:rFonts w:hint="eastAsia"/>
          <w:b/>
          <w:bCs/>
          <w:sz w:val="32"/>
          <w:szCs w:val="32"/>
        </w:rPr>
        <w:t>E</w:t>
      </w:r>
      <w:r>
        <w:rPr>
          <w:b/>
          <w:bCs/>
          <w:sz w:val="32"/>
          <w:szCs w:val="32"/>
        </w:rPr>
        <w:t>CCA</w:t>
      </w:r>
      <w:r>
        <w:rPr>
          <w:rFonts w:hint="eastAsia"/>
          <w:b/>
          <w:bCs/>
          <w:sz w:val="32"/>
          <w:szCs w:val="32"/>
        </w:rPr>
        <w:t>欧洲面向组件的架构</w:t>
      </w:r>
    </w:p>
    <w:p w14:paraId="6DF73CD6">
      <w:pPr>
        <w:adjustRightInd w:val="0"/>
        <w:snapToGrid w:val="0"/>
        <w:spacing w:line="560" w:lineRule="exact"/>
        <w:rPr>
          <w:b/>
          <w:bCs/>
          <w:sz w:val="32"/>
          <w:szCs w:val="32"/>
        </w:rPr>
      </w:pPr>
      <w:r>
        <w:rPr>
          <w:rFonts w:hint="eastAsia"/>
          <w:b/>
          <w:bCs/>
          <w:sz w:val="32"/>
          <w:szCs w:val="32"/>
        </w:rPr>
        <w:t>DoDAF</w:t>
      </w:r>
    </w:p>
    <w:p w14:paraId="40E5C0CC">
      <w:pPr>
        <w:adjustRightInd w:val="0"/>
        <w:snapToGrid w:val="0"/>
        <w:spacing w:line="560" w:lineRule="exact"/>
        <w:ind w:firstLine="640" w:firstLineChars="200"/>
        <w:rPr>
          <w:sz w:val="32"/>
          <w:szCs w:val="32"/>
        </w:rPr>
      </w:pPr>
      <w:r>
        <w:rPr>
          <w:rFonts w:hint="eastAsia"/>
          <w:sz w:val="32"/>
          <w:szCs w:val="32"/>
        </w:rPr>
        <w:t>开放式系统架构（Open</w:t>
      </w:r>
      <w:r>
        <w:rPr>
          <w:sz w:val="32"/>
          <w:szCs w:val="32"/>
        </w:rPr>
        <w:t xml:space="preserve"> </w:t>
      </w:r>
      <w:r>
        <w:rPr>
          <w:rFonts w:hint="eastAsia"/>
          <w:sz w:val="32"/>
          <w:szCs w:val="32"/>
        </w:rPr>
        <w:t>System</w:t>
      </w:r>
      <w:r>
        <w:rPr>
          <w:sz w:val="32"/>
          <w:szCs w:val="32"/>
        </w:rPr>
        <w:t xml:space="preserve"> </w:t>
      </w:r>
      <w:r>
        <w:rPr>
          <w:rFonts w:hint="eastAsia"/>
          <w:sz w:val="32"/>
          <w:szCs w:val="32"/>
        </w:rPr>
        <w:t>Architecture</w:t>
      </w:r>
      <w:r>
        <w:rPr>
          <w:sz w:val="32"/>
          <w:szCs w:val="32"/>
        </w:rPr>
        <w:t>,OSA</w:t>
      </w:r>
      <w:r>
        <w:rPr>
          <w:rFonts w:hint="eastAsia"/>
          <w:sz w:val="32"/>
          <w:szCs w:val="32"/>
        </w:rPr>
        <w:t>）有多种定义，例如美国军用标准草案《系统工程》（MIL</w:t>
      </w:r>
      <w:r>
        <w:rPr>
          <w:sz w:val="32"/>
          <w:szCs w:val="32"/>
        </w:rPr>
        <w:t>-</w:t>
      </w:r>
      <w:r>
        <w:rPr>
          <w:rFonts w:hint="eastAsia"/>
          <w:sz w:val="32"/>
          <w:szCs w:val="32"/>
        </w:rPr>
        <w:t>STD</w:t>
      </w:r>
      <w:r>
        <w:rPr>
          <w:sz w:val="32"/>
          <w:szCs w:val="32"/>
        </w:rPr>
        <w:t>-499</w:t>
      </w:r>
      <w:r>
        <w:rPr>
          <w:rFonts w:hint="eastAsia"/>
          <w:sz w:val="32"/>
          <w:szCs w:val="32"/>
        </w:rPr>
        <w:t>B）中定义如下：</w:t>
      </w:r>
    </w:p>
    <w:p w14:paraId="4922310B">
      <w:pPr>
        <w:adjustRightInd w:val="0"/>
        <w:snapToGrid w:val="0"/>
        <w:spacing w:line="560" w:lineRule="exact"/>
        <w:ind w:firstLine="640" w:firstLineChars="200"/>
        <w:rPr>
          <w:sz w:val="32"/>
          <w:szCs w:val="32"/>
        </w:rPr>
      </w:pPr>
      <w:r>
        <w:rPr>
          <w:sz w:val="32"/>
          <w:szCs w:val="32"/>
        </w:rPr>
        <w:t>Open System Architecture. A logical,physical structure implemented via well defined, widely used, publiciy-maintained, non-proprietary specifications for interfaces, services, and supporting formats to accomplish system functionaliy, thereby enabling the use of properly engineered components across a wide range of systems with minimai changes.</w:t>
      </w:r>
      <w:r>
        <w:rPr>
          <w:rFonts w:hint="eastAsia"/>
          <w:sz w:val="32"/>
          <w:szCs w:val="32"/>
        </w:rPr>
        <w:t>（MIL</w:t>
      </w:r>
      <w:r>
        <w:rPr>
          <w:sz w:val="32"/>
          <w:szCs w:val="32"/>
        </w:rPr>
        <w:t>-</w:t>
      </w:r>
      <w:r>
        <w:rPr>
          <w:rFonts w:hint="eastAsia"/>
          <w:sz w:val="32"/>
          <w:szCs w:val="32"/>
        </w:rPr>
        <w:t>STD</w:t>
      </w:r>
      <w:r>
        <w:rPr>
          <w:sz w:val="32"/>
          <w:szCs w:val="32"/>
        </w:rPr>
        <w:t>-499</w:t>
      </w:r>
      <w:r>
        <w:rPr>
          <w:rFonts w:hint="eastAsia"/>
          <w:sz w:val="32"/>
          <w:szCs w:val="32"/>
        </w:rPr>
        <w:t>B）</w:t>
      </w:r>
    </w:p>
    <w:p w14:paraId="3FC05228">
      <w:pPr>
        <w:adjustRightInd w:val="0"/>
        <w:snapToGrid w:val="0"/>
        <w:spacing w:line="560" w:lineRule="exact"/>
        <w:ind w:firstLine="640" w:firstLineChars="200"/>
        <w:rPr>
          <w:rFonts w:ascii="Segoe UI" w:hAnsi="Segoe UI" w:cs="Segoe UI"/>
          <w:sz w:val="32"/>
          <w:szCs w:val="32"/>
          <w:shd w:val="clear" w:color="auto" w:fill="FFFFFF"/>
        </w:rPr>
      </w:pPr>
      <w:r>
        <w:rPr>
          <w:rFonts w:hint="eastAsia" w:ascii="Segoe UI" w:hAnsi="Segoe UI" w:cs="Segoe UI"/>
          <w:sz w:val="32"/>
          <w:szCs w:val="32"/>
          <w:shd w:val="clear" w:color="auto" w:fill="FFFFFF"/>
        </w:rPr>
        <w:t>翻译：</w:t>
      </w:r>
      <w:r>
        <w:rPr>
          <w:rFonts w:ascii="Segoe UI" w:hAnsi="Segoe UI" w:cs="Segoe UI"/>
          <w:sz w:val="32"/>
          <w:szCs w:val="32"/>
          <w:shd w:val="clear" w:color="auto" w:fill="FFFFFF"/>
        </w:rPr>
        <w:t>通过定义清晰、广泛应用、公开维护且非专有化的</w:t>
      </w:r>
      <w:r>
        <w:rPr>
          <w:rFonts w:ascii="Segoe UI" w:hAnsi="Segoe UI" w:cs="Segoe UI"/>
          <w:b/>
          <w:bCs/>
          <w:sz w:val="32"/>
          <w:szCs w:val="32"/>
          <w:shd w:val="clear" w:color="auto" w:fill="FFFFFF"/>
        </w:rPr>
        <w:t>接口、服务及支持格式规范</w:t>
      </w:r>
      <w:r>
        <w:rPr>
          <w:rFonts w:ascii="Segoe UI" w:hAnsi="Segoe UI" w:cs="Segoe UI"/>
          <w:sz w:val="32"/>
          <w:szCs w:val="32"/>
          <w:shd w:val="clear" w:color="auto" w:fill="FFFFFF"/>
        </w:rPr>
        <w:t>来实现系统功能的一种逻辑与物理结构。采用这种架构后，</w:t>
      </w:r>
      <w:r>
        <w:rPr>
          <w:rFonts w:ascii="Segoe UI" w:hAnsi="Segoe UI" w:cs="Segoe UI"/>
          <w:b/>
          <w:bCs/>
          <w:sz w:val="32"/>
          <w:szCs w:val="32"/>
          <w:shd w:val="clear" w:color="auto" w:fill="FFFFFF"/>
        </w:rPr>
        <w:t>经过恰当工程设计的组件可在各类系统中使用，且只需进行极少改动</w:t>
      </w:r>
      <w:r>
        <w:rPr>
          <w:rFonts w:ascii="Segoe UI" w:hAnsi="Segoe UI" w:cs="Segoe UI"/>
          <w:sz w:val="32"/>
          <w:szCs w:val="32"/>
          <w:shd w:val="clear" w:color="auto" w:fill="FFFFFF"/>
        </w:rPr>
        <w:t>。</w:t>
      </w:r>
    </w:p>
    <w:p w14:paraId="501C963B">
      <w:pPr>
        <w:adjustRightInd w:val="0"/>
        <w:snapToGrid w:val="0"/>
        <w:spacing w:line="560" w:lineRule="exact"/>
        <w:rPr>
          <w:b/>
          <w:bCs/>
          <w:sz w:val="32"/>
          <w:szCs w:val="32"/>
        </w:rPr>
      </w:pPr>
      <w:r>
        <w:rPr>
          <w:rFonts w:hint="eastAsia"/>
          <w:b/>
          <w:bCs/>
          <w:sz w:val="32"/>
          <w:szCs w:val="32"/>
        </w:rPr>
        <w:t>1</w:t>
      </w:r>
      <w:r>
        <w:rPr>
          <w:b/>
          <w:bCs/>
          <w:sz w:val="32"/>
          <w:szCs w:val="32"/>
        </w:rPr>
        <w:t>.2</w:t>
      </w:r>
      <w:r>
        <w:rPr>
          <w:rFonts w:hint="eastAsia"/>
          <w:b/>
          <w:bCs/>
          <w:sz w:val="32"/>
          <w:szCs w:val="32"/>
        </w:rPr>
        <w:t>软件开放式架构定义</w:t>
      </w:r>
    </w:p>
    <w:p w14:paraId="73BC3D22">
      <w:pPr>
        <w:adjustRightInd w:val="0"/>
        <w:snapToGrid w:val="0"/>
        <w:spacing w:line="560" w:lineRule="exact"/>
        <w:ind w:firstLine="640" w:firstLineChars="200"/>
        <w:rPr>
          <w:sz w:val="32"/>
          <w:szCs w:val="32"/>
        </w:rPr>
      </w:pPr>
      <w:r>
        <w:rPr>
          <w:rFonts w:hint="eastAsia"/>
          <w:sz w:val="32"/>
          <w:szCs w:val="32"/>
        </w:rPr>
        <w:t>对于软件开放式架构，未找到非常权威的定义，互联网上摘录的定义是：软件开放式架构（Open Software Architecture）是一种以“</w:t>
      </w:r>
      <w:r>
        <w:rPr>
          <w:rFonts w:hint="eastAsia"/>
          <w:b/>
          <w:bCs/>
          <w:sz w:val="32"/>
          <w:szCs w:val="32"/>
        </w:rPr>
        <w:t>开放、互联、可扩展</w:t>
      </w:r>
      <w:r>
        <w:rPr>
          <w:rFonts w:hint="eastAsia"/>
          <w:sz w:val="32"/>
          <w:szCs w:val="32"/>
        </w:rPr>
        <w:t>”为核心设计理念的软件架构模式，其核心目标是打破封闭系统的壁垒，通过</w:t>
      </w:r>
      <w:r>
        <w:rPr>
          <w:rFonts w:hint="eastAsia"/>
          <w:b/>
          <w:bCs/>
          <w:sz w:val="32"/>
          <w:szCs w:val="32"/>
        </w:rPr>
        <w:t>标准化接口、模块化设计和开放生态</w:t>
      </w:r>
      <w:r>
        <w:rPr>
          <w:rFonts w:hint="eastAsia"/>
          <w:sz w:val="32"/>
          <w:szCs w:val="32"/>
        </w:rPr>
        <w:t>，实现软件与外部系统、组件或第三方服务的</w:t>
      </w:r>
      <w:r>
        <w:rPr>
          <w:rFonts w:hint="eastAsia"/>
          <w:b/>
          <w:bCs/>
          <w:sz w:val="32"/>
          <w:szCs w:val="32"/>
        </w:rPr>
        <w:t>灵活对接</w:t>
      </w:r>
      <w:r>
        <w:rPr>
          <w:rFonts w:hint="eastAsia"/>
          <w:sz w:val="32"/>
          <w:szCs w:val="32"/>
        </w:rPr>
        <w:t>，同时支持用户或开发者对系统功能进行</w:t>
      </w:r>
      <w:r>
        <w:rPr>
          <w:rFonts w:hint="eastAsia"/>
          <w:b/>
          <w:bCs/>
          <w:sz w:val="32"/>
          <w:szCs w:val="32"/>
        </w:rPr>
        <w:t>定制、扩展或二次开发</w:t>
      </w:r>
      <w:r>
        <w:rPr>
          <w:rFonts w:hint="eastAsia"/>
          <w:sz w:val="32"/>
          <w:szCs w:val="32"/>
        </w:rPr>
        <w:t>。</w:t>
      </w:r>
    </w:p>
    <w:p w14:paraId="17822A2E">
      <w:pPr>
        <w:adjustRightInd w:val="0"/>
        <w:snapToGrid w:val="0"/>
        <w:spacing w:line="560" w:lineRule="exact"/>
        <w:rPr>
          <w:b/>
          <w:bCs/>
          <w:sz w:val="32"/>
          <w:szCs w:val="32"/>
        </w:rPr>
      </w:pPr>
      <w:r>
        <w:rPr>
          <w:rFonts w:hint="eastAsia"/>
          <w:b/>
          <w:bCs/>
          <w:sz w:val="32"/>
          <w:szCs w:val="32"/>
        </w:rPr>
        <w:t>1</w:t>
      </w:r>
      <w:r>
        <w:rPr>
          <w:b/>
          <w:bCs/>
          <w:sz w:val="32"/>
          <w:szCs w:val="32"/>
        </w:rPr>
        <w:t>.3</w:t>
      </w:r>
      <w:r>
        <w:rPr>
          <w:rFonts w:hint="eastAsia"/>
          <w:b/>
          <w:bCs/>
          <w:sz w:val="32"/>
          <w:szCs w:val="32"/>
        </w:rPr>
        <w:t>软件开放式架构与开放式系统架构的关系理解</w:t>
      </w:r>
    </w:p>
    <w:p w14:paraId="7798DEAE">
      <w:pPr>
        <w:adjustRightInd w:val="0"/>
        <w:snapToGrid w:val="0"/>
        <w:spacing w:line="560" w:lineRule="exact"/>
        <w:ind w:firstLine="640" w:firstLineChars="200"/>
        <w:rPr>
          <w:sz w:val="32"/>
          <w:szCs w:val="32"/>
        </w:rPr>
      </w:pPr>
      <w:r>
        <w:rPr>
          <w:rFonts w:hint="eastAsia"/>
          <w:sz w:val="32"/>
          <w:szCs w:val="32"/>
        </w:rPr>
        <w:t>软件开放式架构与开放式系统架构应该是包含与被包含关系，开放式系统架构包含软件开放式架构。1</w:t>
      </w:r>
      <w:r>
        <w:rPr>
          <w:sz w:val="32"/>
          <w:szCs w:val="32"/>
        </w:rPr>
        <w:t>.1</w:t>
      </w:r>
      <w:r>
        <w:rPr>
          <w:rFonts w:hint="eastAsia"/>
          <w:sz w:val="32"/>
          <w:szCs w:val="32"/>
        </w:rPr>
        <w:t>中描述开放式系统架构定义为“</w:t>
      </w:r>
      <w:r>
        <w:rPr>
          <w:rFonts w:ascii="Segoe UI" w:hAnsi="Segoe UI" w:cs="Segoe UI"/>
          <w:sz w:val="32"/>
          <w:szCs w:val="32"/>
          <w:shd w:val="clear" w:color="auto" w:fill="FFFFFF"/>
        </w:rPr>
        <w:t>通过定义清晰、广泛应用、公开维护且非专有化的接口、服务及支持格式规范来实现系统功能的一种</w:t>
      </w:r>
      <w:r>
        <w:rPr>
          <w:rFonts w:ascii="Segoe UI" w:hAnsi="Segoe UI" w:cs="Segoe UI"/>
          <w:b/>
          <w:bCs/>
          <w:sz w:val="32"/>
          <w:szCs w:val="32"/>
          <w:shd w:val="clear" w:color="auto" w:fill="FFFFFF"/>
        </w:rPr>
        <w:t>逻辑与物理结构</w:t>
      </w:r>
      <w:r>
        <w:rPr>
          <w:rFonts w:hint="eastAsia"/>
          <w:sz w:val="32"/>
          <w:szCs w:val="32"/>
        </w:rPr>
        <w:t>”定义中同时包含了逻辑和物理结构，软件可以看作是逻辑结构，也包含于其中。</w:t>
      </w:r>
    </w:p>
    <w:p w14:paraId="3EA3AD5A">
      <w:pPr>
        <w:adjustRightInd w:val="0"/>
        <w:snapToGrid w:val="0"/>
        <w:spacing w:line="560" w:lineRule="exact"/>
        <w:ind w:firstLine="640" w:firstLineChars="200"/>
        <w:rPr>
          <w:sz w:val="32"/>
          <w:szCs w:val="32"/>
        </w:rPr>
      </w:pPr>
      <w:r>
        <w:rPr>
          <w:rFonts w:hint="eastAsia"/>
          <w:sz w:val="32"/>
          <w:szCs w:val="32"/>
        </w:rPr>
        <w:t>按照PPT中的表述，开放式的机载系统还包含硬件（物理层）的开放，与软件开放式架构相辅相成。硬件的开放与软件开放式架构处于不同层面，软件可看作是对功能和逻辑的描述，处于功能和逻辑层，而硬件则处于物理层，主要提供满足功能和逻辑实现的物理能力。硬件与软件开放式架构在不同层级发挥作用，分别解决物理平台和软件的标准化、扩展性、灵活性等问题，从而实现机载系统开放式架构。</w:t>
      </w:r>
    </w:p>
    <w:p w14:paraId="283E1E27">
      <w:pPr>
        <w:adjustRightInd w:val="0"/>
        <w:snapToGrid w:val="0"/>
        <w:spacing w:line="560" w:lineRule="exact"/>
        <w:rPr>
          <w:b/>
          <w:bCs/>
          <w:sz w:val="32"/>
          <w:szCs w:val="32"/>
        </w:rPr>
      </w:pPr>
      <w:r>
        <w:rPr>
          <w:rFonts w:hint="eastAsia"/>
          <w:b/>
          <w:bCs/>
          <w:sz w:val="32"/>
          <w:szCs w:val="32"/>
        </w:rPr>
        <w:t>1</w:t>
      </w:r>
      <w:r>
        <w:rPr>
          <w:b/>
          <w:bCs/>
          <w:sz w:val="32"/>
          <w:szCs w:val="32"/>
        </w:rPr>
        <w:t>.4</w:t>
      </w:r>
      <w:r>
        <w:rPr>
          <w:rFonts w:hint="eastAsia"/>
          <w:b/>
          <w:bCs/>
          <w:sz w:val="32"/>
          <w:szCs w:val="32"/>
        </w:rPr>
        <w:t>软件开放式架构的特点</w:t>
      </w:r>
    </w:p>
    <w:p w14:paraId="72178A71">
      <w:pPr>
        <w:adjustRightInd w:val="0"/>
        <w:snapToGrid w:val="0"/>
        <w:spacing w:line="560" w:lineRule="exact"/>
        <w:ind w:firstLine="640" w:firstLineChars="200"/>
        <w:rPr>
          <w:sz w:val="32"/>
          <w:szCs w:val="32"/>
        </w:rPr>
      </w:pPr>
      <w:r>
        <w:rPr>
          <w:rFonts w:hint="eastAsia"/>
          <w:sz w:val="32"/>
          <w:szCs w:val="32"/>
        </w:rPr>
        <w:t>软件开放式架构主要具有如下的特点，为对每个特点进行形象化的理解，对特点进行了举例说明：</w:t>
      </w:r>
    </w:p>
    <w:p w14:paraId="0C270DCF">
      <w:pPr>
        <w:adjustRightInd w:val="0"/>
        <w:snapToGrid w:val="0"/>
        <w:spacing w:line="560" w:lineRule="exact"/>
        <w:ind w:firstLine="640" w:firstLineChars="200"/>
        <w:rPr>
          <w:sz w:val="32"/>
          <w:szCs w:val="32"/>
        </w:rPr>
      </w:pPr>
      <w:r>
        <w:rPr>
          <w:rFonts w:hint="eastAsia"/>
          <w:sz w:val="32"/>
          <w:szCs w:val="32"/>
        </w:rPr>
        <w:t>（</w:t>
      </w:r>
      <w:r>
        <w:rPr>
          <w:sz w:val="32"/>
          <w:szCs w:val="32"/>
        </w:rPr>
        <w:t>1</w:t>
      </w:r>
      <w:r>
        <w:rPr>
          <w:rFonts w:hint="eastAsia"/>
          <w:sz w:val="32"/>
          <w:szCs w:val="32"/>
        </w:rPr>
        <w:t>）标准化：制定并遵循公开、共识的接口与规范。</w:t>
      </w:r>
    </w:p>
    <w:p w14:paraId="5149824F">
      <w:pPr>
        <w:adjustRightInd w:val="0"/>
        <w:snapToGrid w:val="0"/>
        <w:spacing w:line="560" w:lineRule="exact"/>
        <w:ind w:firstLine="640" w:firstLineChars="200"/>
        <w:rPr>
          <w:sz w:val="32"/>
          <w:szCs w:val="32"/>
        </w:rPr>
      </w:pPr>
      <w:r>
        <w:rPr>
          <w:rFonts w:hint="eastAsia"/>
          <w:sz w:val="32"/>
          <w:szCs w:val="32"/>
        </w:rPr>
        <w:t>例如：POSIX（Portable Operating System Interface，可移植操作系统接口）是一系列标准的统称，主要用于提升软件在不同操作系统（尤其是各种Unix变体）之间的可移植性。明确规定了：一个兼容的操作系统必须提供哪些C语言函数接口Shell和常用命令行工具的行为标准。文件系统、进程线程模型、信号机制等的基本运作规则。如果一个操作系统遵循了POSIX标准，那么为POSIX标准编写的应用程序就可以很容易地移植到这个系统上，通常只需要重新编译一下即可。</w:t>
      </w:r>
    </w:p>
    <w:p w14:paraId="0C18EED0">
      <w:pPr>
        <w:adjustRightInd w:val="0"/>
        <w:snapToGrid w:val="0"/>
        <w:spacing w:line="560" w:lineRule="exact"/>
        <w:ind w:firstLine="640" w:firstLineChars="200"/>
        <w:rPr>
          <w:sz w:val="32"/>
          <w:szCs w:val="32"/>
        </w:rPr>
      </w:pPr>
      <w:r>
        <w:rPr>
          <w:rFonts w:hint="eastAsia"/>
          <w:sz w:val="32"/>
          <w:szCs w:val="32"/>
        </w:rPr>
        <w:t>（2）模块化：将整个系统划分为一系列功能明确、边界清晰的独立模块。每个模块负责一个特定的子功能，模块内部高度内聚，模块之间松耦合。</w:t>
      </w:r>
    </w:p>
    <w:p w14:paraId="338E5A6F">
      <w:pPr>
        <w:adjustRightInd w:val="0"/>
        <w:snapToGrid w:val="0"/>
        <w:spacing w:line="560" w:lineRule="exact"/>
        <w:ind w:firstLine="640" w:firstLineChars="200"/>
        <w:rPr>
          <w:sz w:val="32"/>
          <w:szCs w:val="32"/>
        </w:rPr>
      </w:pPr>
      <w:r>
        <w:rPr>
          <w:rFonts w:hint="eastAsia"/>
          <w:sz w:val="32"/>
          <w:szCs w:val="32"/>
        </w:rPr>
        <w:t>例如：一个任务系统可以被划分为：态势感知模块、武器管理模块、导航规划模块、人机交互显示模块等。每个模块都可以独立进行开发、测试和升级，且模块之间的信息交互少。</w:t>
      </w:r>
    </w:p>
    <w:p w14:paraId="773028FD">
      <w:pPr>
        <w:adjustRightInd w:val="0"/>
        <w:snapToGrid w:val="0"/>
        <w:spacing w:line="560" w:lineRule="exact"/>
        <w:ind w:firstLine="640" w:firstLineChars="200"/>
        <w:rPr>
          <w:rFonts w:ascii="宋体" w:hAnsi="宋体" w:cs="Segoe UI"/>
          <w:color w:val="404040"/>
          <w:sz w:val="32"/>
          <w:szCs w:val="32"/>
          <w:shd w:val="clear" w:color="auto" w:fill="FFFFFF"/>
        </w:rPr>
      </w:pPr>
      <w:r>
        <w:rPr>
          <w:rFonts w:hint="eastAsia"/>
          <w:sz w:val="32"/>
          <w:szCs w:val="32"/>
        </w:rPr>
        <w:t>（3）软件与硬件解耦：</w:t>
      </w:r>
      <w:r>
        <w:rPr>
          <w:rFonts w:hint="eastAsia" w:ascii="Segoe UI" w:hAnsi="Segoe UI" w:cs="Segoe UI"/>
          <w:color w:val="404040"/>
          <w:sz w:val="32"/>
          <w:szCs w:val="32"/>
          <w:shd w:val="clear" w:color="auto" w:fill="FFFFFF"/>
        </w:rPr>
        <w:t>软件与硬件之间的相互依赖度很低。</w:t>
      </w:r>
    </w:p>
    <w:p w14:paraId="0DA17BDB">
      <w:pPr>
        <w:adjustRightInd w:val="0"/>
        <w:snapToGrid w:val="0"/>
        <w:spacing w:line="560" w:lineRule="exact"/>
        <w:ind w:firstLine="640" w:firstLineChars="200"/>
        <w:rPr>
          <w:sz w:val="32"/>
          <w:szCs w:val="32"/>
        </w:rPr>
      </w:pPr>
      <w:r>
        <w:rPr>
          <w:rFonts w:hint="eastAsia" w:ascii="宋体" w:hAnsi="宋体" w:cs="Segoe UI"/>
          <w:color w:val="404040"/>
          <w:sz w:val="32"/>
          <w:szCs w:val="32"/>
          <w:shd w:val="clear" w:color="auto" w:fill="FFFFFF"/>
        </w:rPr>
        <w:t>例如：机载软件中的某个模块可以移植到多个厂家开发的符合同一标准的不同硬件上。</w:t>
      </w:r>
    </w:p>
    <w:p w14:paraId="07194379">
      <w:pPr>
        <w:adjustRightInd w:val="0"/>
        <w:snapToGrid w:val="0"/>
        <w:spacing w:line="560" w:lineRule="exact"/>
        <w:ind w:firstLine="640" w:firstLineChars="200"/>
        <w:rPr>
          <w:sz w:val="32"/>
          <w:szCs w:val="32"/>
        </w:rPr>
      </w:pPr>
      <w:r>
        <w:rPr>
          <w:rFonts w:hint="eastAsia"/>
          <w:sz w:val="32"/>
          <w:szCs w:val="32"/>
        </w:rPr>
        <w:t>（</w:t>
      </w:r>
      <w:r>
        <w:rPr>
          <w:sz w:val="32"/>
          <w:szCs w:val="32"/>
        </w:rPr>
        <w:t>4</w:t>
      </w:r>
      <w:r>
        <w:rPr>
          <w:rFonts w:hint="eastAsia"/>
          <w:sz w:val="32"/>
          <w:szCs w:val="32"/>
        </w:rPr>
        <w:t>）互操作：不同来源、不同供应商开发的模块能够相互通信、协同工作，共同完成一项任务。</w:t>
      </w:r>
    </w:p>
    <w:p w14:paraId="6F3E344C">
      <w:pPr>
        <w:adjustRightInd w:val="0"/>
        <w:snapToGrid w:val="0"/>
        <w:spacing w:line="560" w:lineRule="exact"/>
        <w:ind w:firstLine="640" w:firstLineChars="200"/>
        <w:rPr>
          <w:sz w:val="32"/>
          <w:szCs w:val="32"/>
        </w:rPr>
      </w:pPr>
      <w:r>
        <w:rPr>
          <w:rFonts w:hint="eastAsia"/>
          <w:sz w:val="32"/>
          <w:szCs w:val="32"/>
        </w:rPr>
        <w:t>（</w:t>
      </w:r>
      <w:r>
        <w:rPr>
          <w:sz w:val="32"/>
          <w:szCs w:val="32"/>
        </w:rPr>
        <w:t>5</w:t>
      </w:r>
      <w:r>
        <w:rPr>
          <w:rFonts w:hint="eastAsia"/>
          <w:sz w:val="32"/>
          <w:szCs w:val="32"/>
        </w:rPr>
        <w:t>）拓展性：系统能够容易地增加新的功能或提升性能，而无需改变其核心架构。</w:t>
      </w:r>
    </w:p>
    <w:p w14:paraId="4069426B">
      <w:pPr>
        <w:adjustRightInd w:val="0"/>
        <w:snapToGrid w:val="0"/>
        <w:spacing w:line="560" w:lineRule="exact"/>
        <w:ind w:firstLine="640" w:firstLineChars="200"/>
        <w:rPr>
          <w:sz w:val="32"/>
          <w:szCs w:val="32"/>
        </w:rPr>
      </w:pPr>
      <w:r>
        <w:rPr>
          <w:rFonts w:hint="eastAsia"/>
          <w:sz w:val="32"/>
          <w:szCs w:val="32"/>
        </w:rPr>
        <w:t>例如：某型号飞机可以快速根据已有的硬件平台资源，开发新的任务模块，并更新到机上运行。</w:t>
      </w:r>
    </w:p>
    <w:p w14:paraId="2125D19F">
      <w:pPr>
        <w:pStyle w:val="3"/>
      </w:pPr>
      <w:r>
        <w:t>2.</w:t>
      </w:r>
      <w:r>
        <w:rPr>
          <w:rFonts w:hint="eastAsia"/>
        </w:rPr>
        <w:t>软件开放式架构的优势（收益）</w:t>
      </w:r>
    </w:p>
    <w:p w14:paraId="42E796EE">
      <w:pPr>
        <w:adjustRightInd w:val="0"/>
        <w:snapToGrid w:val="0"/>
        <w:spacing w:line="560" w:lineRule="exact"/>
        <w:ind w:firstLine="640" w:firstLineChars="200"/>
        <w:rPr>
          <w:sz w:val="32"/>
          <w:szCs w:val="32"/>
        </w:rPr>
      </w:pPr>
      <w:r>
        <w:rPr>
          <w:rFonts w:hint="eastAsia"/>
          <w:sz w:val="32"/>
          <w:szCs w:val="32"/>
        </w:rPr>
        <w:t>随着飞机功能的丰富，机载软件的代码量快速提升，已达到数千万行的级别，大代码量在软件工程的全流程都带来更大的成本，也带来更多的安全风险。再加上封闭式系统具有专用、定制、软件与硬件深度绑定等特点，带来众多问题例如：软件难以在不同硬件之间移植复用，造成很多软件移植或重复开发工作；软件开发效率低，交付速度慢；供应链封闭，造成供应商单一，缺少竞争性，售价高昂；系统功能难以扩展，升级困难等。</w:t>
      </w:r>
    </w:p>
    <w:p w14:paraId="4995FDF4">
      <w:pPr>
        <w:adjustRightInd w:val="0"/>
        <w:snapToGrid w:val="0"/>
        <w:spacing w:line="560" w:lineRule="exact"/>
        <w:ind w:firstLine="640" w:firstLineChars="200"/>
        <w:rPr>
          <w:sz w:val="32"/>
          <w:szCs w:val="32"/>
        </w:rPr>
      </w:pPr>
      <w:r>
        <w:rPr>
          <w:rFonts w:hint="eastAsia"/>
          <w:sz w:val="32"/>
          <w:szCs w:val="32"/>
        </w:rPr>
        <w:t>而软件开放性架构则相反，其具有标准化、模块化、软件与硬件解耦、互操作、拓展性等特点，在机载软件研发的过程中有很多优势例如：</w:t>
      </w:r>
    </w:p>
    <w:p w14:paraId="1A3C5D26">
      <w:pPr>
        <w:adjustRightInd w:val="0"/>
        <w:snapToGrid w:val="0"/>
        <w:spacing w:line="560" w:lineRule="exact"/>
        <w:ind w:firstLine="640" w:firstLineChars="200"/>
        <w:rPr>
          <w:sz w:val="32"/>
          <w:szCs w:val="32"/>
        </w:rPr>
      </w:pPr>
      <w:r>
        <w:rPr>
          <w:rFonts w:hint="eastAsia"/>
          <w:sz w:val="32"/>
          <w:szCs w:val="32"/>
        </w:rPr>
        <w:t>（1）通过软件与硬件解耦，可以实现软件和硬件的竞争性采购，降低成本。</w:t>
      </w:r>
    </w:p>
    <w:p w14:paraId="18CE36AD">
      <w:pPr>
        <w:adjustRightInd w:val="0"/>
        <w:snapToGrid w:val="0"/>
        <w:spacing w:line="560" w:lineRule="exact"/>
        <w:ind w:firstLine="640" w:firstLineChars="200"/>
        <w:rPr>
          <w:sz w:val="32"/>
          <w:szCs w:val="32"/>
        </w:rPr>
      </w:pPr>
      <w:r>
        <w:rPr>
          <w:rFonts w:hint="eastAsia"/>
          <w:sz w:val="32"/>
          <w:szCs w:val="32"/>
        </w:rPr>
        <w:t>（</w:t>
      </w:r>
      <w:r>
        <w:rPr>
          <w:sz w:val="32"/>
          <w:szCs w:val="32"/>
        </w:rPr>
        <w:t>2</w:t>
      </w:r>
      <w:r>
        <w:rPr>
          <w:rFonts w:hint="eastAsia"/>
          <w:sz w:val="32"/>
          <w:szCs w:val="32"/>
        </w:rPr>
        <w:t>）通过软件与硬件解耦、标准化，可以实现软件在不同系统中的复用，减少重复开发和软件维护的成本。</w:t>
      </w:r>
    </w:p>
    <w:p w14:paraId="3A144358">
      <w:pPr>
        <w:adjustRightInd w:val="0"/>
        <w:snapToGrid w:val="0"/>
        <w:spacing w:line="560" w:lineRule="exact"/>
        <w:ind w:firstLine="640" w:firstLineChars="200"/>
        <w:rPr>
          <w:sz w:val="32"/>
          <w:szCs w:val="32"/>
        </w:rPr>
      </w:pPr>
      <w:r>
        <w:rPr>
          <w:rFonts w:hint="eastAsia"/>
          <w:sz w:val="32"/>
          <w:szCs w:val="32"/>
        </w:rPr>
        <w:t>（3）软件在不同系统中的复用将促进软件在性能和可靠性上的不断优化。</w:t>
      </w:r>
    </w:p>
    <w:p w14:paraId="36685F29">
      <w:pPr>
        <w:adjustRightInd w:val="0"/>
        <w:snapToGrid w:val="0"/>
        <w:spacing w:line="560" w:lineRule="exact"/>
        <w:ind w:firstLine="640" w:firstLineChars="200"/>
        <w:rPr>
          <w:sz w:val="32"/>
          <w:szCs w:val="32"/>
        </w:rPr>
      </w:pPr>
      <w:r>
        <w:rPr>
          <w:rFonts w:hint="eastAsia"/>
          <w:sz w:val="32"/>
          <w:szCs w:val="32"/>
        </w:rPr>
        <w:t>（</w:t>
      </w:r>
      <w:r>
        <w:rPr>
          <w:sz w:val="32"/>
          <w:szCs w:val="32"/>
        </w:rPr>
        <w:t>4</w:t>
      </w:r>
      <w:r>
        <w:rPr>
          <w:rFonts w:hint="eastAsia"/>
          <w:sz w:val="32"/>
          <w:szCs w:val="32"/>
        </w:rPr>
        <w:t>）通过模块化、模块间的松耦合，可以帮助进行软件系统分解，推动并行开发与验证，提高效率。</w:t>
      </w:r>
    </w:p>
    <w:p w14:paraId="5D1779B7">
      <w:pPr>
        <w:adjustRightInd w:val="0"/>
        <w:snapToGrid w:val="0"/>
        <w:spacing w:line="560" w:lineRule="exact"/>
        <w:ind w:firstLine="640" w:firstLineChars="200"/>
        <w:rPr>
          <w:sz w:val="32"/>
          <w:szCs w:val="32"/>
        </w:rPr>
      </w:pPr>
      <w:r>
        <w:rPr>
          <w:rFonts w:hint="eastAsia"/>
          <w:sz w:val="32"/>
          <w:szCs w:val="32"/>
        </w:rPr>
        <w:t>（</w:t>
      </w:r>
      <w:r>
        <w:rPr>
          <w:sz w:val="32"/>
          <w:szCs w:val="32"/>
        </w:rPr>
        <w:t>5</w:t>
      </w:r>
      <w:r>
        <w:rPr>
          <w:rFonts w:hint="eastAsia"/>
          <w:sz w:val="32"/>
          <w:szCs w:val="32"/>
        </w:rPr>
        <w:t>）通过标准化的接口，可使各模块快速集成，提升系统集成的效率。</w:t>
      </w:r>
    </w:p>
    <w:p w14:paraId="68A548CE">
      <w:pPr>
        <w:adjustRightInd w:val="0"/>
        <w:snapToGrid w:val="0"/>
        <w:spacing w:line="560" w:lineRule="exact"/>
        <w:ind w:firstLine="640" w:firstLineChars="200"/>
        <w:rPr>
          <w:sz w:val="32"/>
          <w:szCs w:val="32"/>
        </w:rPr>
      </w:pPr>
      <w:r>
        <w:rPr>
          <w:rFonts w:hint="eastAsia"/>
          <w:sz w:val="32"/>
          <w:szCs w:val="32"/>
        </w:rPr>
        <w:t>（</w:t>
      </w:r>
      <w:r>
        <w:rPr>
          <w:sz w:val="32"/>
          <w:szCs w:val="32"/>
        </w:rPr>
        <w:t>6</w:t>
      </w:r>
      <w:r>
        <w:rPr>
          <w:rFonts w:hint="eastAsia"/>
          <w:sz w:val="32"/>
          <w:szCs w:val="32"/>
        </w:rPr>
        <w:t>）通过拓展性，可以快速实现系统功能的升级、变更。</w:t>
      </w:r>
    </w:p>
    <w:p w14:paraId="27E6F32F">
      <w:pPr>
        <w:adjustRightInd w:val="0"/>
        <w:snapToGrid w:val="0"/>
        <w:spacing w:line="560" w:lineRule="exact"/>
        <w:ind w:firstLine="640" w:firstLineChars="200"/>
        <w:rPr>
          <w:sz w:val="32"/>
          <w:szCs w:val="32"/>
        </w:rPr>
      </w:pPr>
      <w:r>
        <w:rPr>
          <w:rFonts w:hint="eastAsia"/>
          <w:sz w:val="32"/>
          <w:szCs w:val="32"/>
        </w:rPr>
        <w:t>（</w:t>
      </w:r>
      <w:r>
        <w:rPr>
          <w:sz w:val="32"/>
          <w:szCs w:val="32"/>
        </w:rPr>
        <w:t>7</w:t>
      </w:r>
      <w:r>
        <w:rPr>
          <w:rFonts w:hint="eastAsia"/>
          <w:sz w:val="32"/>
          <w:szCs w:val="32"/>
        </w:rPr>
        <w:t>）互操作性，推动不同模块之间的资源共享，也可能推动硬件资源的共享，促进系统的综合化。</w:t>
      </w:r>
    </w:p>
    <w:p w14:paraId="620C1E93">
      <w:pPr>
        <w:adjustRightInd w:val="0"/>
        <w:snapToGrid w:val="0"/>
        <w:spacing w:line="560" w:lineRule="exact"/>
        <w:ind w:firstLine="640" w:firstLineChars="200"/>
        <w:rPr>
          <w:sz w:val="32"/>
          <w:szCs w:val="32"/>
        </w:rPr>
      </w:pPr>
      <w:r>
        <w:rPr>
          <w:rFonts w:hint="eastAsia"/>
          <w:sz w:val="32"/>
          <w:szCs w:val="32"/>
        </w:rPr>
        <w:t>软件开放性架构带来的优势，可以降低机载软件的研发成本，提高开发效率，提升软件性能，顺应机载软件的发展趋势。</w:t>
      </w:r>
    </w:p>
    <w:p w14:paraId="05FDD8B4">
      <w:pPr>
        <w:pStyle w:val="3"/>
      </w:pPr>
      <w:r>
        <w:t>3.</w:t>
      </w:r>
      <w:r>
        <w:rPr>
          <w:rFonts w:hint="eastAsia"/>
        </w:rPr>
        <w:t>国内发展现状</w:t>
      </w:r>
    </w:p>
    <w:p w14:paraId="766F290F">
      <w:pPr>
        <w:adjustRightInd w:val="0"/>
        <w:snapToGrid w:val="0"/>
        <w:spacing w:line="560" w:lineRule="exact"/>
        <w:ind w:firstLine="640" w:firstLineChars="200"/>
        <w:rPr>
          <w:sz w:val="32"/>
          <w:szCs w:val="32"/>
        </w:rPr>
      </w:pPr>
      <w:r>
        <w:rPr>
          <w:rFonts w:hint="eastAsia"/>
          <w:sz w:val="32"/>
          <w:szCs w:val="32"/>
        </w:rPr>
        <w:t>国内发展现状主要通过阅读主机和成员单位资料获取，只做了部分粗略的阅读，在完成报告时受到资料获取的限制只能依据有限的笔记来进行如下简述。总的来说，主机对开放式架构的理解、认可程度、积极性不一，成员单位对开放性架构的探索实践程度也各不相同，已在软件雷达和航电领域开展软件开放式架构的探索，并取得了一些进展，突破了一些关键技术，但依然存在局限性。主机所主要阅读了6</w:t>
      </w:r>
      <w:r>
        <w:rPr>
          <w:sz w:val="32"/>
          <w:szCs w:val="32"/>
        </w:rPr>
        <w:t>11</w:t>
      </w:r>
      <w:r>
        <w:rPr>
          <w:rFonts w:hint="eastAsia"/>
          <w:sz w:val="32"/>
          <w:szCs w:val="32"/>
        </w:rPr>
        <w:t>所和6</w:t>
      </w:r>
      <w:r>
        <w:rPr>
          <w:sz w:val="32"/>
          <w:szCs w:val="32"/>
        </w:rPr>
        <w:t>01</w:t>
      </w:r>
      <w:r>
        <w:rPr>
          <w:rFonts w:hint="eastAsia"/>
          <w:sz w:val="32"/>
          <w:szCs w:val="32"/>
        </w:rPr>
        <w:t>所的部分资料</w:t>
      </w:r>
    </w:p>
    <w:p w14:paraId="21872315">
      <w:pPr>
        <w:adjustRightInd w:val="0"/>
        <w:snapToGrid w:val="0"/>
        <w:spacing w:line="560" w:lineRule="exact"/>
        <w:ind w:firstLine="640" w:firstLineChars="200"/>
        <w:rPr>
          <w:sz w:val="32"/>
          <w:szCs w:val="32"/>
        </w:rPr>
      </w:pPr>
      <w:r>
        <w:rPr>
          <w:sz w:val="32"/>
          <w:szCs w:val="32"/>
        </w:rPr>
        <w:t>611</w:t>
      </w:r>
      <w:r>
        <w:rPr>
          <w:rFonts w:hint="eastAsia"/>
          <w:sz w:val="32"/>
          <w:szCs w:val="32"/>
        </w:rPr>
        <w:t>所阅读的第一篇资料是关于未来航电系统的论文，提出了对未来航电系统的看法，主要关键词是：微系统、互操作、分布式、服务化。其中互操作是典型的开放式架构的特征。该论文中的分布式指出要对信号、数据、图像、语音、系统管理、网络交换等多任务进行并行处理，采用高速网络组网形成任务处理架构，节点可以任意增减，这体现了开放式架构可拓展的特征。论文还提到了服务化，指出将软件按照服务进行解耦合，这符合软件开放式架构的特征，可见</w:t>
      </w:r>
      <w:r>
        <w:rPr>
          <w:sz w:val="32"/>
          <w:szCs w:val="32"/>
        </w:rPr>
        <w:t>611</w:t>
      </w:r>
      <w:r>
        <w:rPr>
          <w:rFonts w:hint="eastAsia"/>
          <w:sz w:val="32"/>
          <w:szCs w:val="32"/>
        </w:rPr>
        <w:t>所在未来航电领域的设想，具有开放式架构的特征。</w:t>
      </w:r>
    </w:p>
    <w:p w14:paraId="58598F34">
      <w:pPr>
        <w:adjustRightInd w:val="0"/>
        <w:snapToGrid w:val="0"/>
        <w:spacing w:line="560" w:lineRule="exact"/>
        <w:ind w:firstLine="640" w:firstLineChars="200"/>
        <w:rPr>
          <w:sz w:val="32"/>
          <w:szCs w:val="32"/>
        </w:rPr>
      </w:pPr>
      <w:r>
        <w:rPr>
          <w:rFonts w:hint="eastAsia"/>
          <w:sz w:val="32"/>
          <w:szCs w:val="32"/>
        </w:rPr>
        <w:t>6</w:t>
      </w:r>
      <w:r>
        <w:rPr>
          <w:sz w:val="32"/>
          <w:szCs w:val="32"/>
        </w:rPr>
        <w:t>11</w:t>
      </w:r>
      <w:r>
        <w:rPr>
          <w:rFonts w:hint="eastAsia"/>
          <w:sz w:val="32"/>
          <w:szCs w:val="32"/>
        </w:rPr>
        <w:t>所的第二篇资料有对开放式架构的分析，则主要对如下内容进行了论述：开放式架构侧重平台内部，与融入体系无关；开放式架构的核心是模块化和标准化但即使将标准整合成全集，也不能形成完备的开放式架构；美国人走过开放式架构的路，但却是混乱发展；飞机的跨代发展，架构上已经越来越开放（举例是歼2</w:t>
      </w:r>
      <w:r>
        <w:rPr>
          <w:sz w:val="32"/>
          <w:szCs w:val="32"/>
        </w:rPr>
        <w:t>0</w:t>
      </w:r>
      <w:r>
        <w:rPr>
          <w:rFonts w:hint="eastAsia"/>
          <w:sz w:val="32"/>
          <w:szCs w:val="32"/>
        </w:rPr>
        <w:t>的模块化设计，已经属于开放了）；射频综合的收益高（可能高过开放式架构）。我认为第二则材料反映6</w:t>
      </w:r>
      <w:r>
        <w:rPr>
          <w:sz w:val="32"/>
          <w:szCs w:val="32"/>
        </w:rPr>
        <w:t>11</w:t>
      </w:r>
      <w:r>
        <w:rPr>
          <w:rFonts w:hint="eastAsia"/>
          <w:sz w:val="32"/>
          <w:szCs w:val="32"/>
        </w:rPr>
        <w:t>所对开放性架构的积极性并没有那么高。</w:t>
      </w:r>
    </w:p>
    <w:p w14:paraId="7ED7AF07">
      <w:pPr>
        <w:adjustRightInd w:val="0"/>
        <w:snapToGrid w:val="0"/>
        <w:spacing w:line="560" w:lineRule="exact"/>
        <w:ind w:firstLine="640" w:firstLineChars="200"/>
        <w:rPr>
          <w:sz w:val="32"/>
          <w:szCs w:val="32"/>
        </w:rPr>
      </w:pPr>
      <w:r>
        <w:rPr>
          <w:rFonts w:hint="eastAsia"/>
          <w:sz w:val="32"/>
          <w:szCs w:val="32"/>
        </w:rPr>
        <w:t>6</w:t>
      </w:r>
      <w:r>
        <w:rPr>
          <w:sz w:val="32"/>
          <w:szCs w:val="32"/>
        </w:rPr>
        <w:t>01</w:t>
      </w:r>
      <w:r>
        <w:rPr>
          <w:rFonts w:hint="eastAsia"/>
          <w:sz w:val="32"/>
          <w:szCs w:val="32"/>
        </w:rPr>
        <w:t>所材料中表明开放式架构尚未形成统一的技术体系与标准规范，存在巨大差距，且面临代差风险，急需研制体现其对开放式架构的态度积极。6</w:t>
      </w:r>
      <w:r>
        <w:rPr>
          <w:sz w:val="32"/>
          <w:szCs w:val="32"/>
        </w:rPr>
        <w:t>01</w:t>
      </w:r>
      <w:r>
        <w:rPr>
          <w:rFonts w:hint="eastAsia"/>
          <w:sz w:val="32"/>
          <w:szCs w:val="32"/>
        </w:rPr>
        <w:t>所也已开展一些开放式架构的相关工作，例如通过标准文件规定了相关标准接口，并开展了实践，其中6</w:t>
      </w:r>
      <w:r>
        <w:rPr>
          <w:sz w:val="32"/>
          <w:szCs w:val="32"/>
        </w:rPr>
        <w:t>31</w:t>
      </w:r>
      <w:r>
        <w:rPr>
          <w:rFonts w:hint="eastAsia"/>
          <w:sz w:val="32"/>
          <w:szCs w:val="32"/>
        </w:rPr>
        <w:t>所和6</w:t>
      </w:r>
      <w:r>
        <w:rPr>
          <w:sz w:val="32"/>
          <w:szCs w:val="32"/>
        </w:rPr>
        <w:t>13</w:t>
      </w:r>
      <w:r>
        <w:rPr>
          <w:rFonts w:hint="eastAsia"/>
          <w:sz w:val="32"/>
          <w:szCs w:val="32"/>
        </w:rPr>
        <w:t>所承接了部分工作。此外6</w:t>
      </w:r>
      <w:r>
        <w:rPr>
          <w:sz w:val="32"/>
          <w:szCs w:val="32"/>
        </w:rPr>
        <w:t>01</w:t>
      </w:r>
      <w:r>
        <w:rPr>
          <w:rFonts w:hint="eastAsia"/>
          <w:sz w:val="32"/>
          <w:szCs w:val="32"/>
        </w:rPr>
        <w:t>所还开展了一些研究性工作，例如基于FACE标准的数据字典建模方法研究，采用ICD设计工具设计ICD，研究自动的API接口和源代码生成技术。</w:t>
      </w:r>
    </w:p>
    <w:p w14:paraId="3362AA63">
      <w:pPr>
        <w:adjustRightInd w:val="0"/>
        <w:snapToGrid w:val="0"/>
        <w:spacing w:line="560" w:lineRule="exact"/>
        <w:ind w:firstLine="640" w:firstLineChars="200"/>
        <w:rPr>
          <w:sz w:val="32"/>
          <w:szCs w:val="32"/>
        </w:rPr>
      </w:pPr>
      <w:r>
        <w:rPr>
          <w:rFonts w:hint="eastAsia"/>
          <w:sz w:val="32"/>
          <w:szCs w:val="32"/>
        </w:rPr>
        <w:t>成员单位也开展了开放式架构的工作，从材料上看较为突出的为</w:t>
      </w:r>
      <w:r>
        <w:rPr>
          <w:sz w:val="32"/>
          <w:szCs w:val="32"/>
        </w:rPr>
        <w:t>607</w:t>
      </w:r>
      <w:r>
        <w:rPr>
          <w:rFonts w:hint="eastAsia"/>
          <w:sz w:val="32"/>
          <w:szCs w:val="32"/>
        </w:rPr>
        <w:t>所和6</w:t>
      </w:r>
      <w:r>
        <w:rPr>
          <w:sz w:val="32"/>
          <w:szCs w:val="32"/>
        </w:rPr>
        <w:t>15</w:t>
      </w:r>
      <w:r>
        <w:rPr>
          <w:rFonts w:hint="eastAsia"/>
          <w:sz w:val="32"/>
          <w:szCs w:val="32"/>
        </w:rPr>
        <w:t>所。</w:t>
      </w:r>
    </w:p>
    <w:p w14:paraId="6B2F61C4">
      <w:pPr>
        <w:adjustRightInd w:val="0"/>
        <w:snapToGrid w:val="0"/>
        <w:spacing w:line="560" w:lineRule="exact"/>
        <w:ind w:firstLine="640" w:firstLineChars="200"/>
        <w:rPr>
          <w:sz w:val="32"/>
          <w:szCs w:val="32"/>
        </w:rPr>
      </w:pPr>
      <w:r>
        <w:rPr>
          <w:rFonts w:hint="eastAsia"/>
          <w:sz w:val="32"/>
          <w:szCs w:val="32"/>
        </w:rPr>
        <w:t>6</w:t>
      </w:r>
      <w:r>
        <w:rPr>
          <w:sz w:val="32"/>
          <w:szCs w:val="32"/>
        </w:rPr>
        <w:t>07</w:t>
      </w:r>
      <w:r>
        <w:rPr>
          <w:rFonts w:hint="eastAsia"/>
          <w:sz w:val="32"/>
          <w:szCs w:val="32"/>
        </w:rPr>
        <w:t>所主要在软件化雷达领域采用了开放式架构，突破了可视化集成开发环境、轻量级低延时中间件等关键技术，开发了面向机载领域的应用组件库等。其PPT展现了6</w:t>
      </w:r>
      <w:r>
        <w:rPr>
          <w:sz w:val="32"/>
          <w:szCs w:val="32"/>
        </w:rPr>
        <w:t>07</w:t>
      </w:r>
      <w:r>
        <w:rPr>
          <w:rFonts w:hint="eastAsia"/>
          <w:sz w:val="32"/>
          <w:szCs w:val="32"/>
        </w:rPr>
        <w:t>所对开放式软件架构的理解较为深入，其中印象最深刻的有将开放式软件架构与MBSE相结合，以及数字样机应用。体现了软件开放式架构中以软件为中心的思想，在系统工程中，软件代表的是功能和逻辑层的内容，软件定义功能，并指导硬件的适配。另外软件作为功能和逻辑层的描述，可以脱离硬件存在，可以在模拟硬件的仿真环境下运行，从而实现软件的快速迭代和验证，这些思想值得借鉴。</w:t>
      </w:r>
    </w:p>
    <w:p w14:paraId="13C69930">
      <w:pPr>
        <w:adjustRightInd w:val="0"/>
        <w:snapToGrid w:val="0"/>
        <w:spacing w:line="560" w:lineRule="exact"/>
        <w:ind w:firstLine="640" w:firstLineChars="200"/>
        <w:rPr>
          <w:sz w:val="32"/>
          <w:szCs w:val="32"/>
        </w:rPr>
      </w:pPr>
      <w:r>
        <w:rPr>
          <w:rFonts w:hint="eastAsia"/>
          <w:sz w:val="32"/>
          <w:szCs w:val="32"/>
        </w:rPr>
        <w:t>6</w:t>
      </w:r>
      <w:r>
        <w:rPr>
          <w:sz w:val="32"/>
          <w:szCs w:val="32"/>
        </w:rPr>
        <w:t>15</w:t>
      </w:r>
      <w:r>
        <w:rPr>
          <w:rFonts w:hint="eastAsia"/>
          <w:sz w:val="32"/>
          <w:szCs w:val="32"/>
        </w:rPr>
        <w:t>所基于开放式软件架构技术，在操作系统和应用之间构建了通用软件运行平台，实现应用与资源的解耦、跨平台复用。开放核心服务接口，开源底层服务，使得主机和单位成员可以基于平台核心服务快速构建应用。</w:t>
      </w:r>
    </w:p>
    <w:p w14:paraId="44EF7904">
      <w:pPr>
        <w:adjustRightInd w:val="0"/>
        <w:snapToGrid w:val="0"/>
        <w:spacing w:line="560" w:lineRule="exact"/>
        <w:ind w:firstLine="640" w:firstLineChars="200"/>
        <w:rPr>
          <w:sz w:val="32"/>
          <w:szCs w:val="32"/>
        </w:rPr>
      </w:pPr>
      <w:r>
        <w:rPr>
          <w:rFonts w:hint="eastAsia"/>
          <w:sz w:val="32"/>
          <w:szCs w:val="32"/>
        </w:rPr>
        <w:t>资料表示</w:t>
      </w:r>
      <w:r>
        <w:rPr>
          <w:sz w:val="32"/>
          <w:szCs w:val="32"/>
        </w:rPr>
        <w:t>613</w:t>
      </w:r>
      <w:r>
        <w:rPr>
          <w:rFonts w:hint="eastAsia"/>
          <w:sz w:val="32"/>
          <w:szCs w:val="32"/>
        </w:rPr>
        <w:t>所和6</w:t>
      </w:r>
      <w:r>
        <w:rPr>
          <w:sz w:val="32"/>
          <w:szCs w:val="32"/>
        </w:rPr>
        <w:t>31</w:t>
      </w:r>
      <w:r>
        <w:rPr>
          <w:rFonts w:hint="eastAsia"/>
          <w:sz w:val="32"/>
          <w:szCs w:val="32"/>
        </w:rPr>
        <w:t>所参与了6</w:t>
      </w:r>
      <w:r>
        <w:rPr>
          <w:sz w:val="32"/>
          <w:szCs w:val="32"/>
        </w:rPr>
        <w:t>01</w:t>
      </w:r>
      <w:r>
        <w:rPr>
          <w:rFonts w:hint="eastAsia"/>
          <w:sz w:val="32"/>
          <w:szCs w:val="32"/>
        </w:rPr>
        <w:t>所主导的开放式架构构建。</w:t>
      </w:r>
    </w:p>
    <w:p w14:paraId="3202593C">
      <w:pPr>
        <w:adjustRightInd w:val="0"/>
        <w:snapToGrid w:val="0"/>
        <w:spacing w:line="560" w:lineRule="exact"/>
        <w:ind w:firstLine="640" w:firstLineChars="200"/>
        <w:rPr>
          <w:sz w:val="32"/>
          <w:szCs w:val="32"/>
        </w:rPr>
      </w:pPr>
      <w:r>
        <w:rPr>
          <w:rFonts w:hint="eastAsia"/>
          <w:sz w:val="32"/>
          <w:szCs w:val="32"/>
        </w:rPr>
        <w:t>主机和成员单位在发展开放式软件架构方面已有实践并取得了一些成果，其中存在一些可借鉴之处：</w:t>
      </w:r>
    </w:p>
    <w:p w14:paraId="1F2610EA">
      <w:pPr>
        <w:adjustRightInd w:val="0"/>
        <w:snapToGrid w:val="0"/>
        <w:spacing w:line="560" w:lineRule="exact"/>
        <w:ind w:firstLine="640" w:firstLineChars="200"/>
        <w:rPr>
          <w:sz w:val="32"/>
          <w:szCs w:val="32"/>
        </w:rPr>
      </w:pPr>
      <w:r>
        <w:rPr>
          <w:rFonts w:hint="eastAsia"/>
          <w:sz w:val="32"/>
          <w:szCs w:val="32"/>
        </w:rPr>
        <w:t>（1）在操作系统和应用之间建立服务框架，实现应用与资源的解耦。（6</w:t>
      </w:r>
      <w:r>
        <w:rPr>
          <w:sz w:val="32"/>
          <w:szCs w:val="32"/>
        </w:rPr>
        <w:t>15</w:t>
      </w:r>
      <w:r>
        <w:rPr>
          <w:rFonts w:hint="eastAsia"/>
          <w:sz w:val="32"/>
          <w:szCs w:val="32"/>
        </w:rPr>
        <w:t>、6</w:t>
      </w:r>
      <w:r>
        <w:rPr>
          <w:sz w:val="32"/>
          <w:szCs w:val="32"/>
        </w:rPr>
        <w:t>07</w:t>
      </w:r>
      <w:r>
        <w:rPr>
          <w:rFonts w:hint="eastAsia"/>
          <w:sz w:val="32"/>
          <w:szCs w:val="32"/>
        </w:rPr>
        <w:t>）</w:t>
      </w:r>
    </w:p>
    <w:p w14:paraId="1263AABE">
      <w:pPr>
        <w:adjustRightInd w:val="0"/>
        <w:snapToGrid w:val="0"/>
        <w:spacing w:line="560" w:lineRule="exact"/>
        <w:ind w:firstLine="640" w:firstLineChars="200"/>
        <w:rPr>
          <w:sz w:val="32"/>
          <w:szCs w:val="32"/>
        </w:rPr>
      </w:pPr>
      <w:r>
        <w:rPr>
          <w:rFonts w:hint="eastAsia"/>
          <w:sz w:val="32"/>
          <w:szCs w:val="32"/>
        </w:rPr>
        <w:t>（2）进行开发环境和工具链设计。（6</w:t>
      </w:r>
      <w:r>
        <w:rPr>
          <w:sz w:val="32"/>
          <w:szCs w:val="32"/>
        </w:rPr>
        <w:t>15</w:t>
      </w:r>
      <w:r>
        <w:rPr>
          <w:rFonts w:hint="eastAsia"/>
          <w:sz w:val="32"/>
          <w:szCs w:val="32"/>
        </w:rPr>
        <w:t>、6</w:t>
      </w:r>
      <w:r>
        <w:rPr>
          <w:sz w:val="32"/>
          <w:szCs w:val="32"/>
        </w:rPr>
        <w:t>07</w:t>
      </w:r>
      <w:r>
        <w:rPr>
          <w:rFonts w:hint="eastAsia"/>
          <w:sz w:val="32"/>
          <w:szCs w:val="32"/>
        </w:rPr>
        <w:t>）</w:t>
      </w:r>
    </w:p>
    <w:p w14:paraId="1499E450">
      <w:pPr>
        <w:adjustRightInd w:val="0"/>
        <w:snapToGrid w:val="0"/>
        <w:spacing w:line="560" w:lineRule="exact"/>
        <w:ind w:firstLine="640" w:firstLineChars="200"/>
        <w:rPr>
          <w:sz w:val="32"/>
          <w:szCs w:val="32"/>
        </w:rPr>
      </w:pPr>
      <w:r>
        <w:rPr>
          <w:rFonts w:hint="eastAsia"/>
          <w:sz w:val="32"/>
          <w:szCs w:val="32"/>
        </w:rPr>
        <w:t>（3）中间件的低延时优化。（</w:t>
      </w:r>
      <w:r>
        <w:rPr>
          <w:sz w:val="32"/>
          <w:szCs w:val="32"/>
        </w:rPr>
        <w:t>607</w:t>
      </w:r>
      <w:r>
        <w:rPr>
          <w:rFonts w:hint="eastAsia"/>
          <w:sz w:val="32"/>
          <w:szCs w:val="32"/>
        </w:rPr>
        <w:t>）</w:t>
      </w:r>
    </w:p>
    <w:p w14:paraId="6ED887C2">
      <w:pPr>
        <w:adjustRightInd w:val="0"/>
        <w:snapToGrid w:val="0"/>
        <w:spacing w:line="560" w:lineRule="exact"/>
        <w:ind w:firstLine="640" w:firstLineChars="200"/>
        <w:rPr>
          <w:sz w:val="32"/>
          <w:szCs w:val="32"/>
        </w:rPr>
      </w:pPr>
      <w:r>
        <w:rPr>
          <w:rFonts w:hint="eastAsia"/>
          <w:sz w:val="32"/>
          <w:szCs w:val="32"/>
        </w:rPr>
        <w:t>（4）与MBSE结合，以软件为中心，硬件适配软件。（6</w:t>
      </w:r>
      <w:r>
        <w:rPr>
          <w:sz w:val="32"/>
          <w:szCs w:val="32"/>
        </w:rPr>
        <w:t>07</w:t>
      </w:r>
      <w:r>
        <w:rPr>
          <w:rFonts w:hint="eastAsia"/>
          <w:sz w:val="32"/>
          <w:szCs w:val="32"/>
        </w:rPr>
        <w:t>）</w:t>
      </w:r>
    </w:p>
    <w:p w14:paraId="03DD0E3F">
      <w:pPr>
        <w:adjustRightInd w:val="0"/>
        <w:snapToGrid w:val="0"/>
        <w:spacing w:line="560" w:lineRule="exact"/>
        <w:ind w:firstLine="640" w:firstLineChars="200"/>
        <w:rPr>
          <w:sz w:val="32"/>
          <w:szCs w:val="32"/>
        </w:rPr>
      </w:pPr>
      <w:r>
        <w:rPr>
          <w:rFonts w:hint="eastAsia"/>
          <w:sz w:val="32"/>
          <w:szCs w:val="32"/>
        </w:rPr>
        <w:t>（5）开发数字样机（6</w:t>
      </w:r>
      <w:r>
        <w:rPr>
          <w:sz w:val="32"/>
          <w:szCs w:val="32"/>
        </w:rPr>
        <w:t>07</w:t>
      </w:r>
      <w:r>
        <w:rPr>
          <w:rFonts w:hint="eastAsia"/>
          <w:sz w:val="32"/>
          <w:szCs w:val="32"/>
        </w:rPr>
        <w:t>）</w:t>
      </w:r>
    </w:p>
    <w:p w14:paraId="52784899">
      <w:pPr>
        <w:adjustRightInd w:val="0"/>
        <w:snapToGrid w:val="0"/>
        <w:spacing w:line="560" w:lineRule="exact"/>
        <w:ind w:firstLine="640" w:firstLineChars="200"/>
        <w:rPr>
          <w:sz w:val="32"/>
          <w:szCs w:val="32"/>
        </w:rPr>
      </w:pPr>
      <w:r>
        <w:rPr>
          <w:rFonts w:hint="eastAsia"/>
          <w:sz w:val="32"/>
          <w:szCs w:val="32"/>
        </w:rPr>
        <w:t>（6）组件化、服务化设计（6</w:t>
      </w:r>
      <w:r>
        <w:rPr>
          <w:sz w:val="32"/>
          <w:szCs w:val="32"/>
        </w:rPr>
        <w:t>07</w:t>
      </w:r>
      <w:r>
        <w:rPr>
          <w:rFonts w:hint="eastAsia"/>
          <w:sz w:val="32"/>
          <w:szCs w:val="32"/>
        </w:rPr>
        <w:t>）</w:t>
      </w:r>
    </w:p>
    <w:p w14:paraId="6B85FAE2">
      <w:pPr>
        <w:adjustRightInd w:val="0"/>
        <w:snapToGrid w:val="0"/>
        <w:spacing w:line="560" w:lineRule="exact"/>
        <w:ind w:firstLine="640" w:firstLineChars="200"/>
        <w:rPr>
          <w:sz w:val="32"/>
          <w:szCs w:val="32"/>
        </w:rPr>
      </w:pPr>
      <w:r>
        <w:rPr>
          <w:rFonts w:hint="eastAsia"/>
          <w:sz w:val="32"/>
          <w:szCs w:val="32"/>
        </w:rPr>
        <w:t>（7）构建系统管理技术，例如故障定位（6</w:t>
      </w:r>
      <w:r>
        <w:rPr>
          <w:sz w:val="32"/>
          <w:szCs w:val="32"/>
        </w:rPr>
        <w:t>15</w:t>
      </w:r>
      <w:r>
        <w:rPr>
          <w:rFonts w:hint="eastAsia"/>
          <w:sz w:val="32"/>
          <w:szCs w:val="32"/>
        </w:rPr>
        <w:t>）</w:t>
      </w:r>
    </w:p>
    <w:p w14:paraId="0DF6A01F">
      <w:pPr>
        <w:adjustRightInd w:val="0"/>
        <w:snapToGrid w:val="0"/>
        <w:spacing w:line="560" w:lineRule="exact"/>
        <w:ind w:firstLine="640" w:firstLineChars="200"/>
        <w:rPr>
          <w:sz w:val="32"/>
          <w:szCs w:val="32"/>
        </w:rPr>
      </w:pPr>
      <w:r>
        <w:rPr>
          <w:rFonts w:hint="eastAsia"/>
          <w:sz w:val="32"/>
          <w:szCs w:val="32"/>
        </w:rPr>
        <w:t>（8）构建传输协议体系（6</w:t>
      </w:r>
      <w:r>
        <w:rPr>
          <w:sz w:val="32"/>
          <w:szCs w:val="32"/>
        </w:rPr>
        <w:t>15</w:t>
      </w:r>
      <w:r>
        <w:rPr>
          <w:rFonts w:hint="eastAsia"/>
          <w:sz w:val="32"/>
          <w:szCs w:val="32"/>
        </w:rPr>
        <w:t>）</w:t>
      </w:r>
    </w:p>
    <w:p w14:paraId="49698E04">
      <w:pPr>
        <w:adjustRightInd w:val="0"/>
        <w:snapToGrid w:val="0"/>
        <w:spacing w:line="560" w:lineRule="exact"/>
        <w:ind w:firstLine="640" w:firstLineChars="200"/>
        <w:rPr>
          <w:sz w:val="32"/>
          <w:szCs w:val="32"/>
        </w:rPr>
      </w:pPr>
      <w:r>
        <w:rPr>
          <w:rFonts w:hint="eastAsia"/>
          <w:sz w:val="32"/>
          <w:szCs w:val="32"/>
        </w:rPr>
        <w:t>（9）接口规范化定义（6</w:t>
      </w:r>
      <w:r>
        <w:rPr>
          <w:sz w:val="32"/>
          <w:szCs w:val="32"/>
        </w:rPr>
        <w:t>01</w:t>
      </w:r>
      <w:r>
        <w:rPr>
          <w:rFonts w:hint="eastAsia"/>
          <w:sz w:val="32"/>
          <w:szCs w:val="32"/>
        </w:rPr>
        <w:t>）</w:t>
      </w:r>
    </w:p>
    <w:p w14:paraId="717A179A">
      <w:pPr>
        <w:adjustRightInd w:val="0"/>
        <w:snapToGrid w:val="0"/>
        <w:spacing w:line="560" w:lineRule="exact"/>
        <w:ind w:firstLine="640" w:firstLineChars="200"/>
        <w:rPr>
          <w:sz w:val="32"/>
          <w:szCs w:val="32"/>
        </w:rPr>
      </w:pPr>
      <w:r>
        <w:rPr>
          <w:rFonts w:hint="eastAsia"/>
          <w:sz w:val="32"/>
          <w:szCs w:val="32"/>
        </w:rPr>
        <w:t>（10）接口代码生成（6</w:t>
      </w:r>
      <w:r>
        <w:rPr>
          <w:sz w:val="32"/>
          <w:szCs w:val="32"/>
        </w:rPr>
        <w:t>01</w:t>
      </w:r>
      <w:r>
        <w:rPr>
          <w:rFonts w:hint="eastAsia"/>
          <w:sz w:val="32"/>
          <w:szCs w:val="32"/>
        </w:rPr>
        <w:t>）</w:t>
      </w:r>
    </w:p>
    <w:p w14:paraId="73E85B37">
      <w:pPr>
        <w:adjustRightInd w:val="0"/>
        <w:snapToGrid w:val="0"/>
        <w:spacing w:line="560" w:lineRule="exact"/>
        <w:ind w:firstLine="640" w:firstLineChars="200"/>
        <w:rPr>
          <w:sz w:val="32"/>
          <w:szCs w:val="32"/>
        </w:rPr>
      </w:pPr>
      <w:r>
        <w:rPr>
          <w:rFonts w:hint="eastAsia"/>
          <w:sz w:val="32"/>
          <w:szCs w:val="32"/>
        </w:rPr>
        <w:t>但当前开展的软件开放式架构工作仍然存在问题。最主要的问题在于缺少统一的标准和规范。虽然6</w:t>
      </w:r>
      <w:r>
        <w:rPr>
          <w:sz w:val="32"/>
          <w:szCs w:val="32"/>
        </w:rPr>
        <w:t>15</w:t>
      </w:r>
      <w:r>
        <w:rPr>
          <w:rFonts w:hint="eastAsia"/>
          <w:sz w:val="32"/>
          <w:szCs w:val="32"/>
        </w:rPr>
        <w:t>和6</w:t>
      </w:r>
      <w:r>
        <w:rPr>
          <w:sz w:val="32"/>
          <w:szCs w:val="32"/>
        </w:rPr>
        <w:t>07</w:t>
      </w:r>
      <w:r>
        <w:rPr>
          <w:rFonts w:hint="eastAsia"/>
          <w:sz w:val="32"/>
          <w:szCs w:val="32"/>
        </w:rPr>
        <w:t>所都开展了软件开放式架构的工作，例如都设计了服务框架，都开发了对应的开发环境和工具链。但是其双方的应用程序并不能快速移植到对方的服务框架中，其相互之间依然是封闭的。从整个机载系统的角度考虑，依然没有实现开放。需要从机载系统的角度进行顶层设计，形成统一标准尤为重要。</w:t>
      </w:r>
    </w:p>
    <w:p w14:paraId="340038F4">
      <w:pPr>
        <w:pStyle w:val="3"/>
      </w:pPr>
      <w:r>
        <w:t>4.</w:t>
      </w:r>
      <w:r>
        <w:rPr>
          <w:rFonts w:hint="eastAsia"/>
        </w:rPr>
        <w:t>如何构建机载软件开放式架构</w:t>
      </w:r>
    </w:p>
    <w:p w14:paraId="0795B8BE">
      <w:pPr>
        <w:adjustRightInd w:val="0"/>
        <w:snapToGrid w:val="0"/>
        <w:spacing w:line="300" w:lineRule="auto"/>
        <w:ind w:firstLine="640" w:firstLineChars="200"/>
        <w:rPr>
          <w:sz w:val="32"/>
          <w:szCs w:val="32"/>
        </w:rPr>
      </w:pPr>
      <w:r>
        <w:rPr>
          <w:rFonts w:hint="eastAsia"/>
          <w:sz w:val="32"/>
          <w:szCs w:val="32"/>
        </w:rPr>
        <w:t>在本小结主要表达我关于构建机载软件开放式架构的一些简单想法。</w:t>
      </w:r>
    </w:p>
    <w:p w14:paraId="15DD0B2C">
      <w:pPr>
        <w:adjustRightInd w:val="0"/>
        <w:snapToGrid w:val="0"/>
        <w:spacing w:line="300" w:lineRule="auto"/>
        <w:ind w:firstLine="640" w:firstLineChars="200"/>
        <w:rPr>
          <w:sz w:val="32"/>
          <w:szCs w:val="32"/>
        </w:rPr>
      </w:pPr>
      <w:r>
        <w:rPr>
          <w:rFonts w:hint="eastAsia"/>
          <w:sz w:val="32"/>
          <w:szCs w:val="32"/>
        </w:rPr>
        <w:t>需要站在整个机载系统的角度，对软件开放式架构进行论证。要充分了解各主机的需求和各成员单位的需要，争取使架构能与主机以及成员单位适配。</w:t>
      </w:r>
    </w:p>
    <w:p w14:paraId="5C0248A9">
      <w:pPr>
        <w:adjustRightInd w:val="0"/>
        <w:snapToGrid w:val="0"/>
        <w:spacing w:line="300" w:lineRule="auto"/>
        <w:ind w:firstLine="640" w:firstLineChars="200"/>
        <w:rPr>
          <w:sz w:val="32"/>
          <w:szCs w:val="32"/>
        </w:rPr>
      </w:pPr>
      <w:r>
        <w:rPr>
          <w:rFonts w:hint="eastAsia"/>
          <w:sz w:val="32"/>
          <w:szCs w:val="32"/>
        </w:rPr>
        <w:t>需要着重进行软件系统层次结构设计和接口规范的设计。需要专家来进行标准设计，并不断在实际中使用和打磨标准，进行快速迭代和优化。</w:t>
      </w:r>
    </w:p>
    <w:p w14:paraId="5EAA65A4">
      <w:pPr>
        <w:adjustRightInd w:val="0"/>
        <w:snapToGrid w:val="0"/>
        <w:spacing w:line="300" w:lineRule="auto"/>
        <w:ind w:firstLine="640" w:firstLineChars="200"/>
        <w:rPr>
          <w:sz w:val="32"/>
          <w:szCs w:val="32"/>
        </w:rPr>
      </w:pPr>
      <w:r>
        <w:rPr>
          <w:rFonts w:hint="eastAsia"/>
          <w:sz w:val="32"/>
          <w:szCs w:val="32"/>
        </w:rPr>
        <w:t>需要考虑性能与实时性问题，软件开放式架构采用的是组件“拼图”和“即插即用”的方式，系统非常灵活，由组件的变化可以形成不同的系统，需要考虑如何判定系统是否满足性能和实时性要求。</w:t>
      </w:r>
    </w:p>
    <w:p w14:paraId="4A0A3425">
      <w:pPr>
        <w:adjustRightInd w:val="0"/>
        <w:snapToGrid w:val="0"/>
        <w:spacing w:line="300" w:lineRule="auto"/>
        <w:ind w:firstLine="640" w:firstLineChars="200"/>
        <w:rPr>
          <w:sz w:val="32"/>
          <w:szCs w:val="32"/>
        </w:rPr>
      </w:pPr>
      <w:r>
        <w:rPr>
          <w:rFonts w:hint="eastAsia"/>
          <w:sz w:val="32"/>
          <w:szCs w:val="32"/>
        </w:rPr>
        <w:t>需要建立工具链，解决各层级组件开发、验证和集成的问题，例如组件单独开发无法接入真实系统时的测试验证问题。</w:t>
      </w:r>
    </w:p>
    <w:p w14:paraId="047F5B0B">
      <w:pPr>
        <w:adjustRightInd w:val="0"/>
        <w:snapToGrid w:val="0"/>
        <w:spacing w:line="300" w:lineRule="auto"/>
        <w:ind w:firstLine="640" w:firstLineChars="200"/>
        <w:rPr>
          <w:sz w:val="32"/>
          <w:szCs w:val="32"/>
        </w:rPr>
      </w:pPr>
      <w:r>
        <w:rPr>
          <w:rFonts w:hint="eastAsia"/>
          <w:sz w:val="32"/>
          <w:szCs w:val="32"/>
        </w:rPr>
        <w:t>需要构建和维护各层之间的接口软件。</w:t>
      </w:r>
    </w:p>
    <w:p w14:paraId="24D4622E">
      <w:pPr>
        <w:adjustRightInd w:val="0"/>
        <w:snapToGrid w:val="0"/>
        <w:spacing w:line="300" w:lineRule="auto"/>
        <w:ind w:firstLine="640" w:firstLineChars="200"/>
        <w:rPr>
          <w:sz w:val="32"/>
          <w:szCs w:val="32"/>
        </w:rPr>
      </w:pPr>
      <w:r>
        <w:rPr>
          <w:rFonts w:hint="eastAsia"/>
          <w:sz w:val="32"/>
          <w:szCs w:val="32"/>
        </w:rPr>
        <w:t>需要探索新的合作模式，例如对一些基础设计的共建和共享。</w:t>
      </w:r>
    </w:p>
    <w:p w14:paraId="02C7467F"/>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NewRomanPS-BoldMT">
    <w:altName w:val="Times New Roman"/>
    <w:panose1 w:val="00000000000000000000"/>
    <w:charset w:val="00"/>
    <w:family w:val="roman"/>
    <w:pitch w:val="default"/>
    <w:sig w:usb0="00000000" w:usb1="00000000" w:usb2="00000000" w:usb3="00000000" w:csb0="00000000" w:csb1="00000000"/>
  </w:font>
  <w:font w:name="仿宋">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DBC2BC"/>
    <w:multiLevelType w:val="singleLevel"/>
    <w:tmpl w:val="8FDBC2BC"/>
    <w:lvl w:ilvl="0" w:tentative="0">
      <w:start w:val="1"/>
      <w:numFmt w:val="decimal"/>
      <w:suff w:val="nothing"/>
      <w:lvlText w:val="（%1）"/>
      <w:lvlJc w:val="left"/>
    </w:lvl>
  </w:abstractNum>
  <w:abstractNum w:abstractNumId="1">
    <w:nsid w:val="3F7E24D1"/>
    <w:multiLevelType w:val="multilevel"/>
    <w:tmpl w:val="3F7E24D1"/>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
    <w:nsid w:val="5BB01DF4"/>
    <w:multiLevelType w:val="singleLevel"/>
    <w:tmpl w:val="5BB01DF4"/>
    <w:lvl w:ilvl="0" w:tentative="0">
      <w:start w:val="1"/>
      <w:numFmt w:val="decimal"/>
      <w:lvlText w:val="%1."/>
      <w:lvlJc w:val="left"/>
      <w:pPr>
        <w:tabs>
          <w:tab w:val="left" w:pos="312"/>
        </w:tabs>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952"/>
    <w:rsid w:val="00000DDF"/>
    <w:rsid w:val="000011A8"/>
    <w:rsid w:val="00021C7C"/>
    <w:rsid w:val="00021D64"/>
    <w:rsid w:val="00023CF1"/>
    <w:rsid w:val="000305B7"/>
    <w:rsid w:val="00043271"/>
    <w:rsid w:val="00046E57"/>
    <w:rsid w:val="000522FC"/>
    <w:rsid w:val="00052D3E"/>
    <w:rsid w:val="00064CDB"/>
    <w:rsid w:val="000773FF"/>
    <w:rsid w:val="000811ED"/>
    <w:rsid w:val="000833D6"/>
    <w:rsid w:val="00090C2D"/>
    <w:rsid w:val="000A7B5F"/>
    <w:rsid w:val="000B3C6E"/>
    <w:rsid w:val="000C51A1"/>
    <w:rsid w:val="000D57D8"/>
    <w:rsid w:val="000D5E30"/>
    <w:rsid w:val="000D6228"/>
    <w:rsid w:val="000E48E0"/>
    <w:rsid w:val="000E49AE"/>
    <w:rsid w:val="000F2D0D"/>
    <w:rsid w:val="001026BA"/>
    <w:rsid w:val="00103509"/>
    <w:rsid w:val="0011049B"/>
    <w:rsid w:val="0011555F"/>
    <w:rsid w:val="001157B6"/>
    <w:rsid w:val="00115D9A"/>
    <w:rsid w:val="001161DA"/>
    <w:rsid w:val="00122A0D"/>
    <w:rsid w:val="001233EB"/>
    <w:rsid w:val="00135763"/>
    <w:rsid w:val="0015185A"/>
    <w:rsid w:val="00154C3E"/>
    <w:rsid w:val="001570C8"/>
    <w:rsid w:val="00160DEE"/>
    <w:rsid w:val="001754B5"/>
    <w:rsid w:val="00175A0F"/>
    <w:rsid w:val="00175D18"/>
    <w:rsid w:val="00192DF3"/>
    <w:rsid w:val="001931A1"/>
    <w:rsid w:val="00194EC6"/>
    <w:rsid w:val="001A1007"/>
    <w:rsid w:val="001A18EE"/>
    <w:rsid w:val="001A299E"/>
    <w:rsid w:val="001B1E2F"/>
    <w:rsid w:val="001B71FA"/>
    <w:rsid w:val="001C262A"/>
    <w:rsid w:val="001C2AC4"/>
    <w:rsid w:val="001C5934"/>
    <w:rsid w:val="001D5FD9"/>
    <w:rsid w:val="001D688C"/>
    <w:rsid w:val="001F0007"/>
    <w:rsid w:val="001F6520"/>
    <w:rsid w:val="001F7ECE"/>
    <w:rsid w:val="002024D9"/>
    <w:rsid w:val="002052E5"/>
    <w:rsid w:val="002062C2"/>
    <w:rsid w:val="002153E5"/>
    <w:rsid w:val="002164BB"/>
    <w:rsid w:val="00217EB1"/>
    <w:rsid w:val="002208E1"/>
    <w:rsid w:val="00225D2B"/>
    <w:rsid w:val="00225DF9"/>
    <w:rsid w:val="002318DD"/>
    <w:rsid w:val="00233881"/>
    <w:rsid w:val="0023492D"/>
    <w:rsid w:val="00236D11"/>
    <w:rsid w:val="00237D47"/>
    <w:rsid w:val="00250B64"/>
    <w:rsid w:val="00264242"/>
    <w:rsid w:val="0026605E"/>
    <w:rsid w:val="00266C2E"/>
    <w:rsid w:val="00274A6B"/>
    <w:rsid w:val="00287888"/>
    <w:rsid w:val="00287BD2"/>
    <w:rsid w:val="0029717D"/>
    <w:rsid w:val="0029736D"/>
    <w:rsid w:val="002A12B5"/>
    <w:rsid w:val="002B54FC"/>
    <w:rsid w:val="002C341A"/>
    <w:rsid w:val="002C4B04"/>
    <w:rsid w:val="002D09A4"/>
    <w:rsid w:val="002D31CC"/>
    <w:rsid w:val="002D5224"/>
    <w:rsid w:val="002D6BBE"/>
    <w:rsid w:val="002E06A1"/>
    <w:rsid w:val="002E4305"/>
    <w:rsid w:val="002F1F74"/>
    <w:rsid w:val="003022A7"/>
    <w:rsid w:val="00317990"/>
    <w:rsid w:val="00323E20"/>
    <w:rsid w:val="003265C0"/>
    <w:rsid w:val="0034087F"/>
    <w:rsid w:val="0034129B"/>
    <w:rsid w:val="00352B53"/>
    <w:rsid w:val="003569D6"/>
    <w:rsid w:val="00356D9E"/>
    <w:rsid w:val="0036334F"/>
    <w:rsid w:val="00372249"/>
    <w:rsid w:val="003733E6"/>
    <w:rsid w:val="00375470"/>
    <w:rsid w:val="00377387"/>
    <w:rsid w:val="003835E4"/>
    <w:rsid w:val="0038525A"/>
    <w:rsid w:val="00396CA6"/>
    <w:rsid w:val="003B6B88"/>
    <w:rsid w:val="003C053B"/>
    <w:rsid w:val="003C12E0"/>
    <w:rsid w:val="003C45F6"/>
    <w:rsid w:val="003C6B75"/>
    <w:rsid w:val="003C75AF"/>
    <w:rsid w:val="003D1EF3"/>
    <w:rsid w:val="003D7A8A"/>
    <w:rsid w:val="003E58D3"/>
    <w:rsid w:val="003E6750"/>
    <w:rsid w:val="003E6ECA"/>
    <w:rsid w:val="003F0828"/>
    <w:rsid w:val="003F1A7C"/>
    <w:rsid w:val="003F566F"/>
    <w:rsid w:val="00404B56"/>
    <w:rsid w:val="004237C8"/>
    <w:rsid w:val="004247F1"/>
    <w:rsid w:val="004422EE"/>
    <w:rsid w:val="004451F7"/>
    <w:rsid w:val="00446848"/>
    <w:rsid w:val="00446B4D"/>
    <w:rsid w:val="00446FC1"/>
    <w:rsid w:val="004500AA"/>
    <w:rsid w:val="004578A1"/>
    <w:rsid w:val="00461EF7"/>
    <w:rsid w:val="00470CBB"/>
    <w:rsid w:val="00476D38"/>
    <w:rsid w:val="00483944"/>
    <w:rsid w:val="00486FB3"/>
    <w:rsid w:val="004904F9"/>
    <w:rsid w:val="0049161D"/>
    <w:rsid w:val="00494DFB"/>
    <w:rsid w:val="00495D67"/>
    <w:rsid w:val="004C07F9"/>
    <w:rsid w:val="004D05EE"/>
    <w:rsid w:val="004D0EF5"/>
    <w:rsid w:val="004D1426"/>
    <w:rsid w:val="004D3998"/>
    <w:rsid w:val="004D7ABE"/>
    <w:rsid w:val="004D7B91"/>
    <w:rsid w:val="004E0DD9"/>
    <w:rsid w:val="004F35CC"/>
    <w:rsid w:val="004F396C"/>
    <w:rsid w:val="005124A3"/>
    <w:rsid w:val="005176A8"/>
    <w:rsid w:val="00522083"/>
    <w:rsid w:val="00523156"/>
    <w:rsid w:val="00525D46"/>
    <w:rsid w:val="005418A1"/>
    <w:rsid w:val="00550D5F"/>
    <w:rsid w:val="00554501"/>
    <w:rsid w:val="0056310C"/>
    <w:rsid w:val="0056452B"/>
    <w:rsid w:val="0056452C"/>
    <w:rsid w:val="00566168"/>
    <w:rsid w:val="005668BF"/>
    <w:rsid w:val="00575009"/>
    <w:rsid w:val="00581CA7"/>
    <w:rsid w:val="00585EF2"/>
    <w:rsid w:val="0059162F"/>
    <w:rsid w:val="00592840"/>
    <w:rsid w:val="00592927"/>
    <w:rsid w:val="005B1981"/>
    <w:rsid w:val="005B5625"/>
    <w:rsid w:val="005C394C"/>
    <w:rsid w:val="005C3ACF"/>
    <w:rsid w:val="005C3E66"/>
    <w:rsid w:val="005D0241"/>
    <w:rsid w:val="005D5DA2"/>
    <w:rsid w:val="005E535E"/>
    <w:rsid w:val="005F09EF"/>
    <w:rsid w:val="00607520"/>
    <w:rsid w:val="0061199D"/>
    <w:rsid w:val="00615EA1"/>
    <w:rsid w:val="006326EA"/>
    <w:rsid w:val="0064197B"/>
    <w:rsid w:val="0065380C"/>
    <w:rsid w:val="00655992"/>
    <w:rsid w:val="0065709D"/>
    <w:rsid w:val="0067109E"/>
    <w:rsid w:val="006719CB"/>
    <w:rsid w:val="00671CC4"/>
    <w:rsid w:val="00677AA5"/>
    <w:rsid w:val="0068062B"/>
    <w:rsid w:val="00681CB3"/>
    <w:rsid w:val="00692FC2"/>
    <w:rsid w:val="006A1344"/>
    <w:rsid w:val="006B3EE8"/>
    <w:rsid w:val="006B6D7D"/>
    <w:rsid w:val="006C10FF"/>
    <w:rsid w:val="006C42FC"/>
    <w:rsid w:val="006C7D09"/>
    <w:rsid w:val="006D444A"/>
    <w:rsid w:val="006E7252"/>
    <w:rsid w:val="006F68EF"/>
    <w:rsid w:val="006F73E1"/>
    <w:rsid w:val="00701E43"/>
    <w:rsid w:val="00705519"/>
    <w:rsid w:val="00711FAC"/>
    <w:rsid w:val="007160EF"/>
    <w:rsid w:val="00717B89"/>
    <w:rsid w:val="00727DB0"/>
    <w:rsid w:val="00730F22"/>
    <w:rsid w:val="0074036A"/>
    <w:rsid w:val="007526E9"/>
    <w:rsid w:val="0075273F"/>
    <w:rsid w:val="0075582F"/>
    <w:rsid w:val="00757FF9"/>
    <w:rsid w:val="00760584"/>
    <w:rsid w:val="007633AE"/>
    <w:rsid w:val="00767F16"/>
    <w:rsid w:val="00771597"/>
    <w:rsid w:val="00787E51"/>
    <w:rsid w:val="007C6213"/>
    <w:rsid w:val="007D1BA1"/>
    <w:rsid w:val="007E2B29"/>
    <w:rsid w:val="007E731B"/>
    <w:rsid w:val="007F0701"/>
    <w:rsid w:val="008174B4"/>
    <w:rsid w:val="00817961"/>
    <w:rsid w:val="00823A58"/>
    <w:rsid w:val="00824F50"/>
    <w:rsid w:val="00826BDE"/>
    <w:rsid w:val="00832569"/>
    <w:rsid w:val="00841A82"/>
    <w:rsid w:val="008425D7"/>
    <w:rsid w:val="00842952"/>
    <w:rsid w:val="00847855"/>
    <w:rsid w:val="00855673"/>
    <w:rsid w:val="00865543"/>
    <w:rsid w:val="00876144"/>
    <w:rsid w:val="00885E6F"/>
    <w:rsid w:val="00893729"/>
    <w:rsid w:val="00894E19"/>
    <w:rsid w:val="00895A28"/>
    <w:rsid w:val="00895C46"/>
    <w:rsid w:val="008A592C"/>
    <w:rsid w:val="008B1C3F"/>
    <w:rsid w:val="008D6D80"/>
    <w:rsid w:val="008E14D0"/>
    <w:rsid w:val="008E2189"/>
    <w:rsid w:val="008E611E"/>
    <w:rsid w:val="008E6132"/>
    <w:rsid w:val="008E7232"/>
    <w:rsid w:val="008F03DC"/>
    <w:rsid w:val="008F7331"/>
    <w:rsid w:val="00901F94"/>
    <w:rsid w:val="00906E67"/>
    <w:rsid w:val="0091116B"/>
    <w:rsid w:val="009117DF"/>
    <w:rsid w:val="009135D8"/>
    <w:rsid w:val="0092028C"/>
    <w:rsid w:val="00920DAA"/>
    <w:rsid w:val="009241E4"/>
    <w:rsid w:val="00927C24"/>
    <w:rsid w:val="00934FDC"/>
    <w:rsid w:val="009360BA"/>
    <w:rsid w:val="00940759"/>
    <w:rsid w:val="00941A5D"/>
    <w:rsid w:val="009504FE"/>
    <w:rsid w:val="00950F74"/>
    <w:rsid w:val="009521F6"/>
    <w:rsid w:val="009559B9"/>
    <w:rsid w:val="00961107"/>
    <w:rsid w:val="0096139B"/>
    <w:rsid w:val="00966010"/>
    <w:rsid w:val="00967267"/>
    <w:rsid w:val="00970022"/>
    <w:rsid w:val="00982974"/>
    <w:rsid w:val="0099297C"/>
    <w:rsid w:val="009A474C"/>
    <w:rsid w:val="009A5894"/>
    <w:rsid w:val="009B5174"/>
    <w:rsid w:val="009B7453"/>
    <w:rsid w:val="009C1E34"/>
    <w:rsid w:val="009C3C4E"/>
    <w:rsid w:val="009C5FDB"/>
    <w:rsid w:val="009C7C06"/>
    <w:rsid w:val="009E6FE2"/>
    <w:rsid w:val="009F71B0"/>
    <w:rsid w:val="00A01290"/>
    <w:rsid w:val="00A17368"/>
    <w:rsid w:val="00A22226"/>
    <w:rsid w:val="00A35D93"/>
    <w:rsid w:val="00A43D1F"/>
    <w:rsid w:val="00A55D12"/>
    <w:rsid w:val="00A56385"/>
    <w:rsid w:val="00A61AC0"/>
    <w:rsid w:val="00A65797"/>
    <w:rsid w:val="00A66A2C"/>
    <w:rsid w:val="00A67859"/>
    <w:rsid w:val="00A704CE"/>
    <w:rsid w:val="00A850BD"/>
    <w:rsid w:val="00A8518D"/>
    <w:rsid w:val="00A924C2"/>
    <w:rsid w:val="00A962DA"/>
    <w:rsid w:val="00AA04EF"/>
    <w:rsid w:val="00AA644B"/>
    <w:rsid w:val="00AA7D25"/>
    <w:rsid w:val="00AB0D0A"/>
    <w:rsid w:val="00AB193A"/>
    <w:rsid w:val="00AB57A2"/>
    <w:rsid w:val="00AC1F5B"/>
    <w:rsid w:val="00AD3CF7"/>
    <w:rsid w:val="00AD5DAB"/>
    <w:rsid w:val="00AE02FB"/>
    <w:rsid w:val="00AE068E"/>
    <w:rsid w:val="00AF72D4"/>
    <w:rsid w:val="00B2735D"/>
    <w:rsid w:val="00B34316"/>
    <w:rsid w:val="00B51413"/>
    <w:rsid w:val="00B51E2F"/>
    <w:rsid w:val="00B64D9D"/>
    <w:rsid w:val="00B66001"/>
    <w:rsid w:val="00B70858"/>
    <w:rsid w:val="00B76B02"/>
    <w:rsid w:val="00B92472"/>
    <w:rsid w:val="00BA5757"/>
    <w:rsid w:val="00BB2ACA"/>
    <w:rsid w:val="00BC4989"/>
    <w:rsid w:val="00BD059F"/>
    <w:rsid w:val="00BD18AF"/>
    <w:rsid w:val="00BD21C7"/>
    <w:rsid w:val="00BD5063"/>
    <w:rsid w:val="00BD7EBE"/>
    <w:rsid w:val="00BE1231"/>
    <w:rsid w:val="00BE4F0F"/>
    <w:rsid w:val="00BF379E"/>
    <w:rsid w:val="00C17507"/>
    <w:rsid w:val="00C34F18"/>
    <w:rsid w:val="00C37DFF"/>
    <w:rsid w:val="00C423CB"/>
    <w:rsid w:val="00C43761"/>
    <w:rsid w:val="00C5056C"/>
    <w:rsid w:val="00C62558"/>
    <w:rsid w:val="00C755D5"/>
    <w:rsid w:val="00C81572"/>
    <w:rsid w:val="00C82AB7"/>
    <w:rsid w:val="00C94D83"/>
    <w:rsid w:val="00CD1BF0"/>
    <w:rsid w:val="00CD3354"/>
    <w:rsid w:val="00CD3C16"/>
    <w:rsid w:val="00CE2149"/>
    <w:rsid w:val="00CE2DB0"/>
    <w:rsid w:val="00CF4F0A"/>
    <w:rsid w:val="00D02793"/>
    <w:rsid w:val="00D05C6E"/>
    <w:rsid w:val="00D06666"/>
    <w:rsid w:val="00D140BF"/>
    <w:rsid w:val="00D23E77"/>
    <w:rsid w:val="00D27A98"/>
    <w:rsid w:val="00D466FE"/>
    <w:rsid w:val="00D525DC"/>
    <w:rsid w:val="00D56A46"/>
    <w:rsid w:val="00D70AF0"/>
    <w:rsid w:val="00D85318"/>
    <w:rsid w:val="00D91C41"/>
    <w:rsid w:val="00D91EC5"/>
    <w:rsid w:val="00D9661F"/>
    <w:rsid w:val="00DA52A1"/>
    <w:rsid w:val="00DB64FB"/>
    <w:rsid w:val="00DC1D5F"/>
    <w:rsid w:val="00DD50FE"/>
    <w:rsid w:val="00DE127D"/>
    <w:rsid w:val="00DE6810"/>
    <w:rsid w:val="00DF19C4"/>
    <w:rsid w:val="00DF5C91"/>
    <w:rsid w:val="00DF6CF2"/>
    <w:rsid w:val="00E0351A"/>
    <w:rsid w:val="00E03CF9"/>
    <w:rsid w:val="00E04880"/>
    <w:rsid w:val="00E1514C"/>
    <w:rsid w:val="00E15AF5"/>
    <w:rsid w:val="00E216AA"/>
    <w:rsid w:val="00E22701"/>
    <w:rsid w:val="00E24016"/>
    <w:rsid w:val="00E276CA"/>
    <w:rsid w:val="00E343AC"/>
    <w:rsid w:val="00E359DD"/>
    <w:rsid w:val="00E36435"/>
    <w:rsid w:val="00E36C8A"/>
    <w:rsid w:val="00E44FCD"/>
    <w:rsid w:val="00E61379"/>
    <w:rsid w:val="00E61E82"/>
    <w:rsid w:val="00E626B0"/>
    <w:rsid w:val="00E62880"/>
    <w:rsid w:val="00E6337D"/>
    <w:rsid w:val="00E6727B"/>
    <w:rsid w:val="00E854C6"/>
    <w:rsid w:val="00E87D0C"/>
    <w:rsid w:val="00E9071D"/>
    <w:rsid w:val="00E91CCB"/>
    <w:rsid w:val="00EA21E6"/>
    <w:rsid w:val="00EA64D5"/>
    <w:rsid w:val="00EC63E4"/>
    <w:rsid w:val="00ED1889"/>
    <w:rsid w:val="00ED660F"/>
    <w:rsid w:val="00EE3F40"/>
    <w:rsid w:val="00EF129C"/>
    <w:rsid w:val="00EF7D27"/>
    <w:rsid w:val="00F0028B"/>
    <w:rsid w:val="00F043ED"/>
    <w:rsid w:val="00F061EE"/>
    <w:rsid w:val="00F06D18"/>
    <w:rsid w:val="00F078CC"/>
    <w:rsid w:val="00F134C4"/>
    <w:rsid w:val="00F14E45"/>
    <w:rsid w:val="00F15AB3"/>
    <w:rsid w:val="00F2541C"/>
    <w:rsid w:val="00F334B4"/>
    <w:rsid w:val="00F4040C"/>
    <w:rsid w:val="00F46873"/>
    <w:rsid w:val="00F53799"/>
    <w:rsid w:val="00F613EE"/>
    <w:rsid w:val="00F627F8"/>
    <w:rsid w:val="00F76C8A"/>
    <w:rsid w:val="00F84E99"/>
    <w:rsid w:val="00F85F8A"/>
    <w:rsid w:val="00F96983"/>
    <w:rsid w:val="00FA0344"/>
    <w:rsid w:val="00FB3820"/>
    <w:rsid w:val="00FB3C58"/>
    <w:rsid w:val="00FB66D6"/>
    <w:rsid w:val="00FB6DC1"/>
    <w:rsid w:val="00FB73EA"/>
    <w:rsid w:val="00FC51B3"/>
    <w:rsid w:val="00FD2F43"/>
    <w:rsid w:val="00FD3AC6"/>
    <w:rsid w:val="00FE0907"/>
    <w:rsid w:val="00FE44A9"/>
    <w:rsid w:val="010A0BCA"/>
    <w:rsid w:val="013D4B60"/>
    <w:rsid w:val="021C6A75"/>
    <w:rsid w:val="022C6982"/>
    <w:rsid w:val="0308499E"/>
    <w:rsid w:val="032B55D7"/>
    <w:rsid w:val="0334338E"/>
    <w:rsid w:val="03D06ACE"/>
    <w:rsid w:val="045F6B9B"/>
    <w:rsid w:val="05276ABB"/>
    <w:rsid w:val="05302A72"/>
    <w:rsid w:val="05557F4F"/>
    <w:rsid w:val="055C132D"/>
    <w:rsid w:val="05A221EF"/>
    <w:rsid w:val="061E2BF1"/>
    <w:rsid w:val="062D0469"/>
    <w:rsid w:val="067A3BE0"/>
    <w:rsid w:val="06E4782C"/>
    <w:rsid w:val="06E637D5"/>
    <w:rsid w:val="071C7F9D"/>
    <w:rsid w:val="072355A3"/>
    <w:rsid w:val="07C363B5"/>
    <w:rsid w:val="08800364"/>
    <w:rsid w:val="0A9B6453"/>
    <w:rsid w:val="0ABB39F6"/>
    <w:rsid w:val="0B5965AB"/>
    <w:rsid w:val="0B626F71"/>
    <w:rsid w:val="0BB90867"/>
    <w:rsid w:val="0BBA2DB1"/>
    <w:rsid w:val="0BEA58E4"/>
    <w:rsid w:val="0C346B5F"/>
    <w:rsid w:val="0C74719F"/>
    <w:rsid w:val="0D6315C6"/>
    <w:rsid w:val="0DCE2DD6"/>
    <w:rsid w:val="0E1F12B2"/>
    <w:rsid w:val="0E277E7C"/>
    <w:rsid w:val="0E367A84"/>
    <w:rsid w:val="0E811E04"/>
    <w:rsid w:val="0E8C4A31"/>
    <w:rsid w:val="0EC324B8"/>
    <w:rsid w:val="0F056DF4"/>
    <w:rsid w:val="0F503323"/>
    <w:rsid w:val="0F9E175C"/>
    <w:rsid w:val="110765F0"/>
    <w:rsid w:val="113648C8"/>
    <w:rsid w:val="11A46680"/>
    <w:rsid w:val="11BF3EC9"/>
    <w:rsid w:val="11BF435B"/>
    <w:rsid w:val="127F5035"/>
    <w:rsid w:val="12DC3AAD"/>
    <w:rsid w:val="134059D5"/>
    <w:rsid w:val="13740382"/>
    <w:rsid w:val="13DD0697"/>
    <w:rsid w:val="141F4D55"/>
    <w:rsid w:val="14665D24"/>
    <w:rsid w:val="14997F20"/>
    <w:rsid w:val="154A73F4"/>
    <w:rsid w:val="15DF7C6E"/>
    <w:rsid w:val="15FA04B5"/>
    <w:rsid w:val="165A3666"/>
    <w:rsid w:val="173619DD"/>
    <w:rsid w:val="178F59DB"/>
    <w:rsid w:val="17A95CA0"/>
    <w:rsid w:val="18106C0D"/>
    <w:rsid w:val="18CD4B53"/>
    <w:rsid w:val="190154D6"/>
    <w:rsid w:val="19517616"/>
    <w:rsid w:val="19FA7950"/>
    <w:rsid w:val="1A1A178C"/>
    <w:rsid w:val="1A9829AF"/>
    <w:rsid w:val="1B6E4929"/>
    <w:rsid w:val="1BD74BF6"/>
    <w:rsid w:val="1CAB42FC"/>
    <w:rsid w:val="1CF50AD0"/>
    <w:rsid w:val="1CFF0508"/>
    <w:rsid w:val="1EB37DB8"/>
    <w:rsid w:val="1ED26DE5"/>
    <w:rsid w:val="1FC658C9"/>
    <w:rsid w:val="20346CD6"/>
    <w:rsid w:val="20795265"/>
    <w:rsid w:val="208A107A"/>
    <w:rsid w:val="20BB36B5"/>
    <w:rsid w:val="20D90DB6"/>
    <w:rsid w:val="20EF0E4F"/>
    <w:rsid w:val="21026DD4"/>
    <w:rsid w:val="21521B0A"/>
    <w:rsid w:val="216D0C97"/>
    <w:rsid w:val="22330F8A"/>
    <w:rsid w:val="22415C26"/>
    <w:rsid w:val="22AF297E"/>
    <w:rsid w:val="23056708"/>
    <w:rsid w:val="23533917"/>
    <w:rsid w:val="238B43B6"/>
    <w:rsid w:val="239D65F7"/>
    <w:rsid w:val="23F278F9"/>
    <w:rsid w:val="245711E5"/>
    <w:rsid w:val="2480354C"/>
    <w:rsid w:val="248E1095"/>
    <w:rsid w:val="24E86A41"/>
    <w:rsid w:val="24FD7FDE"/>
    <w:rsid w:val="2560231B"/>
    <w:rsid w:val="25E93882"/>
    <w:rsid w:val="25EE3C7D"/>
    <w:rsid w:val="266E549A"/>
    <w:rsid w:val="26B251B5"/>
    <w:rsid w:val="271156B4"/>
    <w:rsid w:val="27A5681B"/>
    <w:rsid w:val="27D01FC1"/>
    <w:rsid w:val="280F1AE4"/>
    <w:rsid w:val="28844573"/>
    <w:rsid w:val="29F645D7"/>
    <w:rsid w:val="2A4A7831"/>
    <w:rsid w:val="2A570191"/>
    <w:rsid w:val="2AA35D1F"/>
    <w:rsid w:val="2AAD3A85"/>
    <w:rsid w:val="2AB42520"/>
    <w:rsid w:val="2AEF37E4"/>
    <w:rsid w:val="2B4E6D6B"/>
    <w:rsid w:val="2B797C93"/>
    <w:rsid w:val="2BBB474F"/>
    <w:rsid w:val="2D98399B"/>
    <w:rsid w:val="2DC74427"/>
    <w:rsid w:val="2DEB191E"/>
    <w:rsid w:val="2DFE0184"/>
    <w:rsid w:val="2E3F45EA"/>
    <w:rsid w:val="2EB515FC"/>
    <w:rsid w:val="30524B50"/>
    <w:rsid w:val="30953F3A"/>
    <w:rsid w:val="30B05DF3"/>
    <w:rsid w:val="31D03335"/>
    <w:rsid w:val="32904380"/>
    <w:rsid w:val="32C82924"/>
    <w:rsid w:val="338611ED"/>
    <w:rsid w:val="33CE11E3"/>
    <w:rsid w:val="34620BF5"/>
    <w:rsid w:val="3536335A"/>
    <w:rsid w:val="355F614C"/>
    <w:rsid w:val="35BE4538"/>
    <w:rsid w:val="35BF1135"/>
    <w:rsid w:val="36FE6530"/>
    <w:rsid w:val="376B0134"/>
    <w:rsid w:val="37EA0A8C"/>
    <w:rsid w:val="37FC2752"/>
    <w:rsid w:val="380B25BB"/>
    <w:rsid w:val="38666929"/>
    <w:rsid w:val="38F51CFE"/>
    <w:rsid w:val="39440C04"/>
    <w:rsid w:val="39D52BB0"/>
    <w:rsid w:val="3A6A64A9"/>
    <w:rsid w:val="3A9B7E58"/>
    <w:rsid w:val="3AB24F6F"/>
    <w:rsid w:val="3AB77C1A"/>
    <w:rsid w:val="3AE55345"/>
    <w:rsid w:val="3AF94DFB"/>
    <w:rsid w:val="3AFF327C"/>
    <w:rsid w:val="3B191766"/>
    <w:rsid w:val="3B56112E"/>
    <w:rsid w:val="3BED2703"/>
    <w:rsid w:val="3BF71AF1"/>
    <w:rsid w:val="3CD83D46"/>
    <w:rsid w:val="3D015D3A"/>
    <w:rsid w:val="3DC70D32"/>
    <w:rsid w:val="3E557A55"/>
    <w:rsid w:val="3EFE6E2C"/>
    <w:rsid w:val="3F397DD7"/>
    <w:rsid w:val="3F7F6D57"/>
    <w:rsid w:val="40556AC9"/>
    <w:rsid w:val="43505BFE"/>
    <w:rsid w:val="435260C8"/>
    <w:rsid w:val="436513E9"/>
    <w:rsid w:val="44452751"/>
    <w:rsid w:val="4556030B"/>
    <w:rsid w:val="459833DA"/>
    <w:rsid w:val="46467FBF"/>
    <w:rsid w:val="46B70A7C"/>
    <w:rsid w:val="46DF533E"/>
    <w:rsid w:val="46F86E5F"/>
    <w:rsid w:val="479C322F"/>
    <w:rsid w:val="47F92CE6"/>
    <w:rsid w:val="48177DA3"/>
    <w:rsid w:val="486F19CC"/>
    <w:rsid w:val="488E0AD9"/>
    <w:rsid w:val="48E0468F"/>
    <w:rsid w:val="498D3CB3"/>
    <w:rsid w:val="4A3006A0"/>
    <w:rsid w:val="4A4E10EE"/>
    <w:rsid w:val="4B005FA2"/>
    <w:rsid w:val="4B6A2461"/>
    <w:rsid w:val="4B863275"/>
    <w:rsid w:val="4BC51AF0"/>
    <w:rsid w:val="4D4C41AA"/>
    <w:rsid w:val="4E950B10"/>
    <w:rsid w:val="4E9A4C44"/>
    <w:rsid w:val="4EC849DC"/>
    <w:rsid w:val="4F0B1050"/>
    <w:rsid w:val="4F0E056F"/>
    <w:rsid w:val="4FFE0236"/>
    <w:rsid w:val="502E4997"/>
    <w:rsid w:val="514B3CFC"/>
    <w:rsid w:val="52082D61"/>
    <w:rsid w:val="52E2601C"/>
    <w:rsid w:val="52F777D3"/>
    <w:rsid w:val="5329428A"/>
    <w:rsid w:val="534C56B2"/>
    <w:rsid w:val="53AE41C7"/>
    <w:rsid w:val="541779B7"/>
    <w:rsid w:val="54A51975"/>
    <w:rsid w:val="54AD6A7C"/>
    <w:rsid w:val="54CD4F10"/>
    <w:rsid w:val="54F05B80"/>
    <w:rsid w:val="5558352D"/>
    <w:rsid w:val="5621502B"/>
    <w:rsid w:val="56554934"/>
    <w:rsid w:val="565C766C"/>
    <w:rsid w:val="567C1E40"/>
    <w:rsid w:val="570A09FF"/>
    <w:rsid w:val="57146841"/>
    <w:rsid w:val="57FE314A"/>
    <w:rsid w:val="58BD7104"/>
    <w:rsid w:val="59032635"/>
    <w:rsid w:val="5905081B"/>
    <w:rsid w:val="598B7847"/>
    <w:rsid w:val="59EE2F1B"/>
    <w:rsid w:val="5A0878FB"/>
    <w:rsid w:val="5AA97B17"/>
    <w:rsid w:val="5AD92356"/>
    <w:rsid w:val="5B311A10"/>
    <w:rsid w:val="5C7E48BA"/>
    <w:rsid w:val="5CE0011E"/>
    <w:rsid w:val="5D001AFF"/>
    <w:rsid w:val="5D4B4D00"/>
    <w:rsid w:val="5D786911"/>
    <w:rsid w:val="5DF23751"/>
    <w:rsid w:val="5E0F167E"/>
    <w:rsid w:val="5E157BF4"/>
    <w:rsid w:val="5E2449DA"/>
    <w:rsid w:val="5E246750"/>
    <w:rsid w:val="5EDD61AF"/>
    <w:rsid w:val="5EEB7865"/>
    <w:rsid w:val="5F2931A3"/>
    <w:rsid w:val="5F56708C"/>
    <w:rsid w:val="60640ED3"/>
    <w:rsid w:val="60654530"/>
    <w:rsid w:val="609355AC"/>
    <w:rsid w:val="60B00E2F"/>
    <w:rsid w:val="61140240"/>
    <w:rsid w:val="614B5652"/>
    <w:rsid w:val="61E40988"/>
    <w:rsid w:val="62292C8A"/>
    <w:rsid w:val="639F57E1"/>
    <w:rsid w:val="63B87F15"/>
    <w:rsid w:val="63E1523C"/>
    <w:rsid w:val="643D7808"/>
    <w:rsid w:val="647C11B0"/>
    <w:rsid w:val="647F4CAC"/>
    <w:rsid w:val="64D8291C"/>
    <w:rsid w:val="65021EB3"/>
    <w:rsid w:val="66240220"/>
    <w:rsid w:val="663A4893"/>
    <w:rsid w:val="66DA76CA"/>
    <w:rsid w:val="67021CB3"/>
    <w:rsid w:val="672A3F5C"/>
    <w:rsid w:val="67386A18"/>
    <w:rsid w:val="674344A0"/>
    <w:rsid w:val="67980EC5"/>
    <w:rsid w:val="67C35F6E"/>
    <w:rsid w:val="68150152"/>
    <w:rsid w:val="68B711D9"/>
    <w:rsid w:val="68FB4006"/>
    <w:rsid w:val="69A3007B"/>
    <w:rsid w:val="6A305DA7"/>
    <w:rsid w:val="6AB240BD"/>
    <w:rsid w:val="6B73185A"/>
    <w:rsid w:val="6C5F4979"/>
    <w:rsid w:val="6CE261B7"/>
    <w:rsid w:val="6ED07197"/>
    <w:rsid w:val="6F0F026A"/>
    <w:rsid w:val="6FD44A65"/>
    <w:rsid w:val="702E2F9A"/>
    <w:rsid w:val="70765B1C"/>
    <w:rsid w:val="70EE0C27"/>
    <w:rsid w:val="72E651DB"/>
    <w:rsid w:val="73C73CC1"/>
    <w:rsid w:val="743B1D01"/>
    <w:rsid w:val="74D9062F"/>
    <w:rsid w:val="76486289"/>
    <w:rsid w:val="7652268D"/>
    <w:rsid w:val="768E239C"/>
    <w:rsid w:val="78D91E2E"/>
    <w:rsid w:val="792855D4"/>
    <w:rsid w:val="794F1893"/>
    <w:rsid w:val="79D01140"/>
    <w:rsid w:val="7A427F5D"/>
    <w:rsid w:val="7A8837E5"/>
    <w:rsid w:val="7A905722"/>
    <w:rsid w:val="7B24593F"/>
    <w:rsid w:val="7B803453"/>
    <w:rsid w:val="7BB874EA"/>
    <w:rsid w:val="7C052A66"/>
    <w:rsid w:val="7C161CBC"/>
    <w:rsid w:val="7D1A6820"/>
    <w:rsid w:val="7D1E2312"/>
    <w:rsid w:val="7DC1685E"/>
    <w:rsid w:val="7E0106F0"/>
    <w:rsid w:val="7E8A02DA"/>
    <w:rsid w:val="7F165DF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2"/>
    <w:autoRedefine/>
    <w:qFormat/>
    <w:uiPriority w:val="0"/>
    <w:pPr>
      <w:keepNext/>
      <w:keepLines/>
      <w:pageBreakBefore/>
      <w:adjustRightInd w:val="0"/>
      <w:snapToGrid w:val="0"/>
      <w:spacing w:before="391" w:beforeLines="100" w:after="312" w:afterLines="80" w:line="288" w:lineRule="auto"/>
      <w:jc w:val="center"/>
      <w:outlineLvl w:val="0"/>
    </w:pPr>
    <w:rPr>
      <w:rFonts w:eastAsia="黑体"/>
      <w:spacing w:val="-4"/>
      <w:kern w:val="44"/>
      <w:sz w:val="36"/>
      <w:szCs w:val="36"/>
    </w:rPr>
  </w:style>
  <w:style w:type="paragraph" w:styleId="3">
    <w:name w:val="heading 2"/>
    <w:basedOn w:val="1"/>
    <w:next w:val="1"/>
    <w:link w:val="13"/>
    <w:autoRedefine/>
    <w:qFormat/>
    <w:uiPriority w:val="0"/>
    <w:pPr>
      <w:keepNext/>
      <w:keepLines/>
      <w:adjustRightInd w:val="0"/>
      <w:snapToGrid w:val="0"/>
      <w:spacing w:before="156" w:beforeLines="50" w:after="156" w:afterLines="50" w:line="288" w:lineRule="auto"/>
      <w:outlineLvl w:val="1"/>
    </w:pPr>
    <w:rPr>
      <w:rFonts w:eastAsia="黑体"/>
      <w:b/>
      <w:bCs/>
      <w:kern w:val="0"/>
      <w:sz w:val="32"/>
      <w:szCs w:val="32"/>
    </w:rPr>
  </w:style>
  <w:style w:type="paragraph" w:styleId="4">
    <w:name w:val="heading 3"/>
    <w:basedOn w:val="1"/>
    <w:next w:val="1"/>
    <w:link w:val="17"/>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5">
    <w:name w:val="Normal (Web)"/>
    <w:basedOn w:val="1"/>
    <w:unhideWhenUsed/>
    <w:qFormat/>
    <w:uiPriority w:val="99"/>
    <w:pPr>
      <w:widowControl/>
      <w:spacing w:before="100" w:beforeAutospacing="1" w:after="100" w:afterAutospacing="1"/>
      <w:jc w:val="left"/>
    </w:pPr>
    <w:rPr>
      <w:rFonts w:ascii="宋体" w:hAnsi="宋体" w:cs="宋体"/>
      <w:kern w:val="0"/>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22"/>
    <w:rPr>
      <w:b/>
      <w:bCs/>
    </w:rPr>
  </w:style>
  <w:style w:type="character" w:styleId="10">
    <w:name w:val="FollowedHyperlink"/>
    <w:basedOn w:val="8"/>
    <w:semiHidden/>
    <w:unhideWhenUsed/>
    <w:qFormat/>
    <w:uiPriority w:val="99"/>
    <w:rPr>
      <w:color w:val="954F72" w:themeColor="followedHyperlink"/>
      <w:u w:val="single"/>
      <w14:textFill>
        <w14:solidFill>
          <w14:schemeClr w14:val="folHlink"/>
        </w14:solidFill>
      </w14:textFill>
    </w:rPr>
  </w:style>
  <w:style w:type="character" w:styleId="11">
    <w:name w:val="Hyperlink"/>
    <w:basedOn w:val="8"/>
    <w:unhideWhenUsed/>
    <w:qFormat/>
    <w:uiPriority w:val="99"/>
    <w:rPr>
      <w:color w:val="0000FF"/>
      <w:u w:val="single"/>
    </w:rPr>
  </w:style>
  <w:style w:type="character" w:customStyle="1" w:styleId="12">
    <w:name w:val="标题 1 字符"/>
    <w:basedOn w:val="8"/>
    <w:link w:val="2"/>
    <w:qFormat/>
    <w:uiPriority w:val="0"/>
    <w:rPr>
      <w:rFonts w:ascii="Times New Roman" w:hAnsi="Times New Roman" w:eastAsia="黑体" w:cs="Times New Roman"/>
      <w:spacing w:val="-4"/>
      <w:kern w:val="44"/>
      <w:sz w:val="36"/>
      <w:szCs w:val="36"/>
    </w:rPr>
  </w:style>
  <w:style w:type="character" w:customStyle="1" w:styleId="13">
    <w:name w:val="标题 2 字符"/>
    <w:basedOn w:val="8"/>
    <w:link w:val="3"/>
    <w:qFormat/>
    <w:uiPriority w:val="0"/>
    <w:rPr>
      <w:rFonts w:ascii="Times New Roman" w:hAnsi="Times New Roman" w:eastAsia="黑体" w:cs="Times New Roman"/>
      <w:b/>
      <w:bCs/>
      <w:kern w:val="0"/>
      <w:sz w:val="32"/>
      <w:szCs w:val="32"/>
    </w:rPr>
  </w:style>
  <w:style w:type="character" w:customStyle="1" w:styleId="14">
    <w:name w:val="未处理的提及1"/>
    <w:basedOn w:val="8"/>
    <w:semiHidden/>
    <w:unhideWhenUsed/>
    <w:qFormat/>
    <w:uiPriority w:val="99"/>
    <w:rPr>
      <w:color w:val="605E5C"/>
      <w:shd w:val="clear" w:color="auto" w:fill="E1DFDD"/>
    </w:rPr>
  </w:style>
  <w:style w:type="character" w:customStyle="1" w:styleId="15">
    <w:name w:val="field-content"/>
    <w:basedOn w:val="8"/>
    <w:qFormat/>
    <w:uiPriority w:val="0"/>
  </w:style>
  <w:style w:type="character" w:customStyle="1" w:styleId="16">
    <w:name w:val="fontstyle01"/>
    <w:basedOn w:val="8"/>
    <w:qFormat/>
    <w:uiPriority w:val="0"/>
    <w:rPr>
      <w:rFonts w:hint="default" w:ascii="TimesNewRomanPS-BoldMT" w:hAnsi="TimesNewRomanPS-BoldMT"/>
      <w:b/>
      <w:bCs/>
      <w:color w:val="000000"/>
      <w:sz w:val="40"/>
      <w:szCs w:val="40"/>
    </w:rPr>
  </w:style>
  <w:style w:type="character" w:customStyle="1" w:styleId="17">
    <w:name w:val="标题 3 字符"/>
    <w:basedOn w:val="8"/>
    <w:link w:val="4"/>
    <w:qFormat/>
    <w:uiPriority w:val="9"/>
    <w:rPr>
      <w:rFonts w:ascii="Times New Roman" w:hAnsi="Times New Roman" w:eastAsia="宋体" w:cs="Times New Roman"/>
      <w:b/>
      <w:bCs/>
      <w:sz w:val="32"/>
      <w:szCs w:val="32"/>
    </w:rPr>
  </w:style>
  <w:style w:type="paragraph" w:styleId="18">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11652</Words>
  <Characters>18741</Characters>
  <Lines>142</Lines>
  <Paragraphs>40</Paragraphs>
  <TotalTime>9</TotalTime>
  <ScaleCrop>false</ScaleCrop>
  <LinksUpToDate>false</LinksUpToDate>
  <CharactersWithSpaces>19574</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2025-09-27T05:46:00Z</dcterms:created>
  <dc:creator>Cao Zhang</dc:creator>
  <cp:lastModifiedBy>钱成铭</cp:lastModifiedBy>
  <cp:lastPrinted>2025-10-14T17:00:00Z</cp:lastPrinted>
  <dcterms:modified xsi:type="dcterms:W3CDTF">2025-10-16T10:39:19Z</dcterms:modified>
  <cp:revision>452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eyJoZGlkIjoiNzJiYTc2MzE3MDhiMjM4MDIxNmRiOWU4MWI4NjkzYzUiLCJ1c2VySWQiOiIxNjM5NDQ2NTQ4In0=</vt:lpwstr>
  </property>
  <property fmtid="{D5CDD505-2E9C-101B-9397-08002B2CF9AE}" pid="3" name="KSOProductBuildVer">
    <vt:lpwstr>2052-12.1.0.22529</vt:lpwstr>
  </property>
  <property fmtid="{D5CDD505-2E9C-101B-9397-08002B2CF9AE}" pid="4" name="ICV">
    <vt:lpwstr>BD1DC92C46CD41108E16DB3D2CB2120C_12</vt:lpwstr>
  </property>
</Properties>
</file>