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Peer-review report</w:t>
      </w:r>
    </w:p>
    <w:p>
      <w:pPr>
        <w:spacing w:after="80"/>
      </w:pPr>
      <w:r>
        <w:rPr>
          <w:b/>
          <w:i w:val="0"/>
          <w:sz w:val="26"/>
        </w:rPr>
        <w:t>Biochar amendment effects on grain yield and Fusarium crown rot severity in winter wheat: a greenhouse study (SYNTHETIC EXAMPLE)</w:t>
      </w:r>
    </w:p>
    <w:p>
      <w:pPr>
        <w:spacing w:after="80"/>
      </w:pPr>
      <w:r>
        <w:rPr>
          <w:b w:val="0"/>
          <w:i/>
          <w:color w:val="7F7F7F"/>
          <w:sz w:val="18"/>
        </w:rPr>
        <w:t>SYNTHETIC EXAMPLE generated with the scientific-peer-review skill. All data are invented.</w:t>
      </w:r>
    </w:p>
    <w:tbl>
      <w:tblPr>
        <w:tblStyle w:val="TableGrid"/>
        <w:tblW w:type="auto" w:w="0"/>
        <w:jc w:val="center"/>
        <w:tblLayout w:type="fixed"/>
        <w:tblLook w:firstColumn="1" w:firstRow="1" w:lastColumn="0" w:lastRow="0" w:noHBand="0" w:noVBand="1" w:val="04A0"/>
        <w:tblLayout w:type="fixed"/>
      </w:tblPr>
      <w:tblGrid>
        <w:gridCol w:w="2268"/>
        <w:gridCol w:w="6803"/>
      </w:tblGrid>
      <w:tr>
        <w:trPr>
          <w:tblHeader w:val="true"/>
        </w:trPr>
        <w:tc>
          <w:tcPr>
            <w:tcW w:type="dxa" w:w="2268"/>
            <w:shd w:val="clear" w:color="auto" w:fill="2E4A62"/>
          </w:tcPr>
          <w:p>
            <w:r/>
            <w:r>
              <w:rPr>
                <w:b/>
                <w:color w:val="FFFFFF"/>
                <w:sz w:val="19"/>
              </w:rPr>
              <w:t>Item</w:t>
            </w:r>
          </w:p>
        </w:tc>
        <w:tc>
          <w:tcPr>
            <w:tcW w:type="dxa" w:w="6803"/>
            <w:shd w:val="clear" w:color="auto" w:fill="2E4A62"/>
          </w:tcPr>
          <w:p>
            <w:r/>
            <w:r>
              <w:rPr>
                <w:b/>
                <w:color w:val="FFFFFF"/>
                <w:sz w:val="19"/>
              </w:rPr>
              <w:t>Value</w:t>
            </w:r>
          </w:p>
        </w:tc>
      </w:tr>
      <w:tr>
        <w:trPr>
          <w:cantSplit w:val="true"/>
        </w:trPr>
        <w:tc>
          <w:tcPr>
            <w:tcW w:type="dxa" w:w="2268"/>
          </w:tcPr>
          <w:p>
            <w:r/>
            <w:r>
              <w:rPr>
                <w:sz w:val="19"/>
              </w:rPr>
              <w:t>Manuscript file</w:t>
            </w:r>
          </w:p>
        </w:tc>
        <w:tc>
          <w:tcPr>
            <w:tcW w:type="dxa" w:w="6803"/>
          </w:tcPr>
          <w:p>
            <w:r/>
            <w:r>
              <w:rPr>
                <w:sz w:val="19"/>
              </w:rPr>
              <w:t>sample_manuscript.docx</w:t>
            </w:r>
          </w:p>
        </w:tc>
      </w:tr>
      <w:tr>
        <w:trPr>
          <w:cantSplit w:val="true"/>
        </w:trPr>
        <w:tc>
          <w:tcPr>
            <w:tcW w:type="dxa" w:w="2268"/>
          </w:tcPr>
          <w:p>
            <w:r/>
            <w:r>
              <w:rPr>
                <w:sz w:val="19"/>
              </w:rPr>
              <w:t>Journal</w:t>
            </w:r>
          </w:p>
        </w:tc>
        <w:tc>
          <w:tcPr>
            <w:tcW w:type="dxa" w:w="6803"/>
          </w:tcPr>
          <w:p>
            <w:r/>
            <w:r>
              <w:rPr>
                <w:sz w:val="19"/>
              </w:rPr>
              <w:t>not supplied</w:t>
            </w:r>
          </w:p>
        </w:tc>
      </w:tr>
      <w:tr>
        <w:trPr>
          <w:cantSplit w:val="true"/>
        </w:trPr>
        <w:tc>
          <w:tcPr>
            <w:tcW w:type="dxa" w:w="2268"/>
          </w:tcPr>
          <w:p>
            <w:r/>
            <w:r>
              <w:rPr>
                <w:sz w:val="19"/>
              </w:rPr>
              <w:t>Review date</w:t>
            </w:r>
          </w:p>
        </w:tc>
        <w:tc>
          <w:tcPr>
            <w:tcW w:type="dxa" w:w="6803"/>
          </w:tcPr>
          <w:p>
            <w:r/>
            <w:r>
              <w:rPr>
                <w:sz w:val="19"/>
              </w:rPr>
              <w:t>example</w:t>
            </w:r>
          </w:p>
        </w:tc>
      </w:tr>
      <w:tr>
        <w:trPr>
          <w:cantSplit w:val="true"/>
        </w:trPr>
        <w:tc>
          <w:tcPr>
            <w:tcW w:type="dxa" w:w="2268"/>
          </w:tcPr>
          <w:p>
            <w:r/>
            <w:r>
              <w:rPr>
                <w:sz w:val="19"/>
              </w:rPr>
              <w:t>Review depth</w:t>
            </w:r>
          </w:p>
        </w:tc>
        <w:tc>
          <w:tcPr>
            <w:tcW w:type="dxa" w:w="6803"/>
          </w:tcPr>
          <w:p>
            <w:r/>
            <w:r>
              <w:rPr>
                <w:sz w:val="19"/>
              </w:rPr>
              <w:t>Standard (synthetic example)</w:t>
            </w:r>
          </w:p>
        </w:tc>
      </w:tr>
      <w:tr>
        <w:trPr>
          <w:cantSplit w:val="true"/>
        </w:trPr>
        <w:tc>
          <w:tcPr>
            <w:tcW w:type="dxa" w:w="2268"/>
          </w:tcPr>
          <w:p>
            <w:r/>
            <w:r>
              <w:rPr>
                <w:sz w:val="19"/>
              </w:rPr>
              <w:t>Comments</w:t>
            </w:r>
          </w:p>
        </w:tc>
        <w:tc>
          <w:tcPr>
            <w:tcW w:type="dxa" w:w="6803"/>
          </w:tcPr>
          <w:p>
            <w:r/>
            <w:r>
              <w:rPr>
                <w:sz w:val="19"/>
              </w:rPr>
              <w:t>Critical 1, Major 6, Minor 5, Optional 1</w:t>
            </w:r>
          </w:p>
        </w:tc>
      </w:tr>
    </w:tbl>
    <w:p>
      <w:pPr>
        <w:pStyle w:val="Heading1"/>
      </w:pPr>
      <w:r>
        <w:t>1. Summary of the submission</w:t>
      </w:r>
    </w:p>
    <w:p>
      <w:pPr>
        <w:spacing w:after="80"/>
      </w:pPr>
      <w:r>
        <w:rPr>
          <w:b w:val="0"/>
          <w:i w:val="0"/>
          <w:sz w:val="21"/>
        </w:rPr>
        <w:t>Four biochar rates were applied to wheat in pots inoculated with Fusarium culmorum; yield and crown rot severity were measured and a farm recommendation is made.</w:t>
      </w:r>
    </w:p>
    <w:p>
      <w:pPr>
        <w:pStyle w:val="Heading1"/>
      </w:pPr>
      <w:r>
        <w:t>2. Overall assessment</w:t>
      </w:r>
    </w:p>
    <w:p>
      <w:pPr>
        <w:spacing w:after="80"/>
      </w:pPr>
      <w:r>
        <w:rPr>
          <w:b w:val="0"/>
          <w:i w:val="0"/>
          <w:sz w:val="21"/>
        </w:rPr>
        <w:t>The design confounds biochar rate with greenhouse bench (C-001); the analysis treats repeated measures as independent (C-002); a P-value is misreported (C-003); the Abstract and Discussion overreach (C-004 to C-006).</w:t>
      </w:r>
    </w:p>
    <w:p>
      <w:pPr>
        <w:spacing w:after="80"/>
      </w:pPr>
      <w:r>
        <w:rPr>
          <w:b/>
          <w:i w:val="0"/>
          <w:sz w:val="21"/>
        </w:rPr>
        <w:t>Strengths</w:t>
      </w:r>
    </w:p>
    <w:p>
      <w:pPr>
        <w:pStyle w:val="ListBullet"/>
      </w:pPr>
      <w:r>
        <w:rPr>
          <w:sz w:val="20"/>
        </w:rPr>
        <w:t>Growth conditions and soil are adequately described.</w:t>
      </w:r>
    </w:p>
    <w:p>
      <w:pPr>
        <w:pStyle w:val="ListBullet"/>
      </w:pPr>
      <w:r>
        <w:rPr>
          <w:sz w:val="20"/>
        </w:rPr>
        <w:t>Degrees of freedom for yield are consistent with the design.</w:t>
      </w:r>
    </w:p>
    <w:p>
      <w:pPr>
        <w:spacing w:after="80"/>
      </w:pPr>
      <w:r>
        <w:rPr>
          <w:b/>
          <w:i w:val="0"/>
          <w:sz w:val="21"/>
        </w:rPr>
        <w:t>Main limitations</w:t>
      </w:r>
    </w:p>
    <w:p>
      <w:pPr>
        <w:pStyle w:val="ListBullet"/>
      </w:pPr>
      <w:r>
        <w:rPr>
          <w:sz w:val="20"/>
        </w:rPr>
        <w:t>Treatment confounded with bench.</w:t>
      </w:r>
    </w:p>
    <w:p>
      <w:pPr>
        <w:pStyle w:val="ListBullet"/>
      </w:pPr>
      <w:r>
        <w:rPr>
          <w:sz w:val="20"/>
        </w:rPr>
        <w:t>Repeated measures analysed as independent.</w:t>
      </w:r>
    </w:p>
    <w:p>
      <w:pPr>
        <w:pStyle w:val="ListBullet"/>
      </w:pPr>
      <w:r>
        <w:rPr>
          <w:sz w:val="20"/>
        </w:rPr>
        <w:t>Overstated recommendation.</w:t>
      </w:r>
    </w:p>
    <w:p>
      <w:pPr>
        <w:pStyle w:val="Heading1"/>
      </w:pPr>
      <w:r>
        <w:t>3. Recommendation</w:t>
      </w:r>
    </w:p>
    <w:tbl>
      <w:tblPr>
        <w:tblStyle w:val="TableGrid"/>
        <w:tblW w:type="auto" w:w="0"/>
        <w:jc w:val="center"/>
        <w:tblLayout w:type="fixed"/>
        <w:tblLook w:firstColumn="1" w:firstRow="1" w:lastColumn="0" w:lastRow="0" w:noHBand="0" w:noVBand="1" w:val="04A0"/>
        <w:tblLayout w:type="fixed"/>
      </w:tblPr>
      <w:tblGrid>
        <w:gridCol w:w="1701"/>
        <w:gridCol w:w="3402"/>
        <w:gridCol w:w="2551"/>
        <w:gridCol w:w="1474"/>
      </w:tblGrid>
      <w:tr>
        <w:trPr>
          <w:tblHeader w:val="true"/>
        </w:trPr>
        <w:tc>
          <w:tcPr>
            <w:tcW w:type="dxa" w:w="1701"/>
            <w:shd w:val="clear" w:color="auto" w:fill="2E4A62"/>
          </w:tcPr>
          <w:p>
            <w:r/>
            <w:r>
              <w:rPr>
                <w:b/>
                <w:color w:val="FFFFFF"/>
                <w:sz w:val="19"/>
              </w:rPr>
              <w:t>Decision</w:t>
            </w:r>
          </w:p>
        </w:tc>
        <w:tc>
          <w:tcPr>
            <w:tcW w:type="dxa" w:w="3402"/>
            <w:shd w:val="clear" w:color="auto" w:fill="2E4A62"/>
          </w:tcPr>
          <w:p>
            <w:r/>
            <w:r>
              <w:rPr>
                <w:b/>
                <w:color w:val="FFFFFF"/>
                <w:sz w:val="19"/>
              </w:rPr>
              <w:t>Main drivers</w:t>
            </w:r>
          </w:p>
        </w:tc>
        <w:tc>
          <w:tcPr>
            <w:tcW w:type="dxa" w:w="2551"/>
            <w:shd w:val="clear" w:color="auto" w:fill="2E4A62"/>
          </w:tcPr>
          <w:p>
            <w:r/>
            <w:r>
              <w:rPr>
                <w:b/>
                <w:color w:val="FFFFFF"/>
                <w:sz w:val="19"/>
              </w:rPr>
              <w:t>What would change it</w:t>
            </w:r>
          </w:p>
        </w:tc>
        <w:tc>
          <w:tcPr>
            <w:tcW w:type="dxa" w:w="1474"/>
            <w:shd w:val="clear" w:color="auto" w:fill="2E4A62"/>
          </w:tcPr>
          <w:p>
            <w:r/>
            <w:r>
              <w:rPr>
                <w:b/>
                <w:color w:val="FFFFFF"/>
                <w:sz w:val="19"/>
              </w:rPr>
              <w:t>Confidence</w:t>
            </w:r>
          </w:p>
        </w:tc>
      </w:tr>
      <w:tr>
        <w:trPr>
          <w:cantSplit w:val="true"/>
        </w:trPr>
        <w:tc>
          <w:tcPr>
            <w:tcW w:type="dxa" w:w="1701"/>
          </w:tcPr>
          <w:p>
            <w:r/>
            <w:r>
              <w:rPr>
                <w:sz w:val="19"/>
              </w:rPr>
              <w:t>Reject (encourage resubmission after a replicated experiment)</w:t>
            </w:r>
          </w:p>
        </w:tc>
        <w:tc>
          <w:tcPr>
            <w:tcW w:type="dxa" w:w="3402"/>
          </w:tcPr>
          <w:p>
            <w:r/>
            <w:r>
              <w:rPr>
                <w:sz w:val="19"/>
              </w:rPr>
              <w:t>C-001</w:t>
            </w:r>
          </w:p>
        </w:tc>
        <w:tc>
          <w:tcPr>
            <w:tcW w:type="dxa" w:w="2551"/>
          </w:tcPr>
          <w:p>
            <w:r/>
            <w:r>
              <w:rPr>
                <w:sz w:val="19"/>
              </w:rPr>
              <w:t>Evidence that benches were replicated and randomised.</w:t>
            </w:r>
          </w:p>
        </w:tc>
        <w:tc>
          <w:tcPr>
            <w:tcW w:type="dxa" w:w="1474"/>
          </w:tcPr>
          <w:p>
            <w:r/>
            <w:r>
              <w:rPr>
                <w:sz w:val="19"/>
              </w:rPr>
              <w:t>4/5</w:t>
            </w:r>
          </w:p>
        </w:tc>
      </w:tr>
    </w:tbl>
    <w:p>
      <w:pPr>
        <w:pStyle w:val="Heading1"/>
      </w:pPr>
      <w:r>
        <w:t>4. Major comments</w:t>
      </w:r>
    </w:p>
    <w:p>
      <w:pPr>
        <w:keepNext/>
        <w:spacing w:before="160"/>
      </w:pPr>
      <w:r>
        <w:rPr>
          <w:b/>
          <w:sz w:val="21"/>
        </w:rPr>
        <w:t>C-001  |  Critical  |  design  |  confirmed</w:t>
      </w:r>
    </w:p>
    <w:p>
      <w:pPr>
        <w:spacing w:after="40"/>
      </w:pPr>
      <w:r>
        <w:rPr>
          <w:b/>
          <w:sz w:val="20"/>
        </w:rPr>
        <w:t xml:space="preserve">Location: </w:t>
      </w:r>
      <w:r>
        <w:rPr>
          <w:i w:val="0"/>
          <w:sz w:val="20"/>
        </w:rPr>
        <w:t>2.2 Treatments</w:t>
      </w:r>
    </w:p>
    <w:p>
      <w:pPr>
        <w:spacing w:after="40"/>
      </w:pPr>
      <w:r>
        <w:rPr>
          <w:b/>
          <w:sz w:val="20"/>
        </w:rPr>
        <w:t xml:space="preserve">Original passage: </w:t>
      </w:r>
      <w:r>
        <w:rPr>
          <w:i/>
          <w:sz w:val="20"/>
        </w:rPr>
        <w:t>“Each biochar rate was applied to one greenhouse bench, and six pots per rate were placed on that bench.”</w:t>
      </w:r>
    </w:p>
    <w:p>
      <w:pPr>
        <w:spacing w:after="40"/>
      </w:pPr>
      <w:r>
        <w:rPr>
          <w:b/>
          <w:sz w:val="20"/>
        </w:rPr>
        <w:t xml:space="preserve">Reviewer comment: </w:t>
      </w:r>
      <w:r>
        <w:rPr>
          <w:i w:val="0"/>
          <w:sz w:val="20"/>
        </w:rPr>
        <w:t>Biochar rate was applied to whole benches, one bench per rate. Rate is therefore completely confounded with bench (light, temperature and irrigation position can differ between benches), and the six pots on a bench are subsamples of one treatment application, not independent replicates of the rate.</w:t>
      </w:r>
    </w:p>
    <w:p>
      <w:pPr>
        <w:spacing w:after="40"/>
      </w:pPr>
      <w:r>
        <w:rPr>
          <w:b/>
          <w:sz w:val="20"/>
        </w:rPr>
        <w:t xml:space="preserve">Scientific rationale: </w:t>
      </w:r>
      <w:r>
        <w:rPr>
          <w:i w:val="0"/>
          <w:sz w:val="20"/>
        </w:rPr>
        <w:t>Differences among rates cannot be separated from bench differences, and every P-value based on pots overstates precision (pseudoreplication). This affects all results and both main conclusions.</w:t>
      </w:r>
    </w:p>
    <w:p>
      <w:pPr>
        <w:spacing w:after="40"/>
      </w:pPr>
      <w:r>
        <w:rPr>
          <w:b/>
          <w:sz w:val="20"/>
        </w:rPr>
        <w:t xml:space="preserve">Required revision: </w:t>
      </w:r>
      <w:r>
        <w:rPr>
          <w:i w:val="0"/>
          <w:sz w:val="20"/>
        </w:rPr>
        <w:t>State the experimental unit and how benches were assigned and arranged. If benches were not replicated, the study cannot support inference about biochar rate; restrict the paper to a descriptive report with the confounding acknowledged, or repeat the experiment with rates randomised to replicated benches or with pots randomised within benches (blocks).</w:t>
      </w:r>
    </w:p>
    <w:p>
      <w:pPr>
        <w:spacing w:after="40"/>
      </w:pPr>
      <w:r>
        <w:rPr>
          <w:b/>
          <w:sz w:val="20"/>
        </w:rPr>
        <w:t xml:space="preserve">Evidence or verification needed: </w:t>
      </w:r>
      <w:r>
        <w:rPr>
          <w:i w:val="0"/>
          <w:sz w:val="20"/>
        </w:rPr>
        <w:t>Greenhouse layout and randomisation procedure; any bench-effect data (e.g. uniform-control pots on each bench).</w:t>
      </w:r>
    </w:p>
    <w:p>
      <w:pPr>
        <w:keepNext/>
        <w:spacing w:before="160"/>
      </w:pPr>
      <w:r>
        <w:rPr>
          <w:b/>
          <w:sz w:val="21"/>
        </w:rPr>
        <w:t>C-002  |  Major  |  statistics  |  confirmed</w:t>
      </w:r>
    </w:p>
    <w:p>
      <w:pPr>
        <w:spacing w:after="40"/>
      </w:pPr>
      <w:r>
        <w:rPr>
          <w:b/>
          <w:sz w:val="20"/>
        </w:rPr>
        <w:t xml:space="preserve">Location: </w:t>
      </w:r>
      <w:r>
        <w:rPr>
          <w:i w:val="0"/>
          <w:sz w:val="20"/>
        </w:rPr>
        <w:t>2.4 Statistical analysis</w:t>
      </w:r>
    </w:p>
    <w:p>
      <w:pPr>
        <w:spacing w:after="40"/>
      </w:pPr>
      <w:r>
        <w:rPr>
          <w:b/>
          <w:sz w:val="20"/>
        </w:rPr>
        <w:t xml:space="preserve">Original passage: </w:t>
      </w:r>
      <w:r>
        <w:rPr>
          <w:i/>
          <w:sz w:val="20"/>
        </w:rPr>
        <w:t>“treating each pot-by-date observation as a replicate”</w:t>
      </w:r>
    </w:p>
    <w:p>
      <w:pPr>
        <w:spacing w:after="40"/>
      </w:pPr>
      <w:r>
        <w:rPr>
          <w:b/>
          <w:sz w:val="20"/>
        </w:rPr>
        <w:t xml:space="preserve">Reviewer comment: </w:t>
      </w:r>
      <w:r>
        <w:rPr>
          <w:i w:val="0"/>
          <w:sz w:val="20"/>
        </w:rPr>
        <w:t>Crown rot was scored on the same pots at four dates (2.3), yet each pot-by-date observation is analysed as an independent replicate. The reported F(3,92) in 3.2 corresponds to 96 observations (24 pots x 4 dates), confirming that repeated measurements were treated as independent.</w:t>
      </w:r>
    </w:p>
    <w:p>
      <w:pPr>
        <w:spacing w:after="40"/>
      </w:pPr>
      <w:r>
        <w:rPr>
          <w:b/>
          <w:sz w:val="20"/>
        </w:rPr>
        <w:t xml:space="preserve">Scientific rationale: </w:t>
      </w:r>
      <w:r>
        <w:rPr>
          <w:i w:val="0"/>
          <w:sz w:val="20"/>
        </w:rPr>
        <w:t>Repeated measures on one pot are correlated; treating them as independent inflates the error degrees of freedom and shrinks P-values.</w:t>
      </w:r>
    </w:p>
    <w:p>
      <w:pPr>
        <w:spacing w:after="40"/>
      </w:pPr>
      <w:r>
        <w:rPr>
          <w:b/>
          <w:sz w:val="20"/>
        </w:rPr>
        <w:t xml:space="preserve">Required revision: </w:t>
      </w:r>
      <w:r>
        <w:rPr>
          <w:i w:val="0"/>
          <w:sz w:val="20"/>
        </w:rPr>
        <w:t>Analyse with the pot as the unit: for example a repeated-measures or mixed model with pot as a random effect (and a suitable covariance structure), or a per-pot summary such as AUDPC. Report the model structure, assumptions and the df method. Note that the ordinal 0-5 score also needs an appropriate model (see C-007).</w:t>
      </w:r>
    </w:p>
    <w:p>
      <w:pPr>
        <w:spacing w:after="40"/>
      </w:pPr>
      <w:r>
        <w:rPr>
          <w:b/>
          <w:sz w:val="20"/>
        </w:rPr>
        <w:t xml:space="preserve">Evidence or verification needed: </w:t>
      </w:r>
      <w:r>
        <w:rPr>
          <w:i w:val="0"/>
          <w:sz w:val="20"/>
        </w:rPr>
        <w:t>Model formula, software and package, diagnostics.</w:t>
      </w:r>
    </w:p>
    <w:p>
      <w:pPr>
        <w:keepNext/>
        <w:spacing w:before="160"/>
      </w:pPr>
      <w:r>
        <w:rPr>
          <w:b/>
          <w:sz w:val="21"/>
        </w:rPr>
        <w:t>C-003  |  Major  |  statistics  |  confirmed</w:t>
      </w:r>
    </w:p>
    <w:p>
      <w:pPr>
        <w:spacing w:after="40"/>
      </w:pPr>
      <w:r>
        <w:rPr>
          <w:b/>
          <w:sz w:val="20"/>
        </w:rPr>
        <w:t xml:space="preserve">Location: </w:t>
      </w:r>
      <w:r>
        <w:rPr>
          <w:i w:val="0"/>
          <w:sz w:val="20"/>
        </w:rPr>
        <w:t>3.1 Grain yield</w:t>
      </w:r>
    </w:p>
    <w:p>
      <w:pPr>
        <w:spacing w:after="40"/>
      </w:pPr>
      <w:r>
        <w:rPr>
          <w:b/>
          <w:sz w:val="20"/>
        </w:rPr>
        <w:t xml:space="preserve">Original passage: </w:t>
      </w:r>
      <w:r>
        <w:rPr>
          <w:i/>
          <w:sz w:val="20"/>
        </w:rPr>
        <w:t>“F(3,20) = 2.91, P = 0.012”</w:t>
      </w:r>
    </w:p>
    <w:p>
      <w:pPr>
        <w:spacing w:after="40"/>
      </w:pPr>
      <w:r>
        <w:rPr>
          <w:b/>
          <w:sz w:val="20"/>
        </w:rPr>
        <w:t xml:space="preserve">Reviewer comment: </w:t>
      </w:r>
      <w:r>
        <w:rPr>
          <w:i w:val="0"/>
          <w:sz w:val="20"/>
        </w:rPr>
        <w:t>F(3,20) = 2.91 corresponds to P of about 0.060 (recomputed; 0.059-0.060 allowing for rounding of F), not 0.012. The reported statistic, df and P cannot all be correct.</w:t>
      </w:r>
    </w:p>
    <w:p>
      <w:pPr>
        <w:spacing w:after="40"/>
      </w:pPr>
      <w:r>
        <w:rPr>
          <w:b/>
          <w:sz w:val="20"/>
        </w:rPr>
        <w:t xml:space="preserve">Scientific rationale: </w:t>
      </w:r>
      <w:r>
        <w:rPr>
          <w:i w:val="0"/>
          <w:sz w:val="20"/>
        </w:rPr>
        <w:t>At alpha = 0.05 the conclusion changes: with P about 0.06 the omnibus test for yield is not significant, which undermines the statement that biochar rate affected yield and the LSD letters in Table 1.</w:t>
      </w:r>
    </w:p>
    <w:p>
      <w:pPr>
        <w:spacing w:after="40"/>
      </w:pPr>
      <w:r>
        <w:rPr>
          <w:b/>
          <w:sz w:val="20"/>
        </w:rPr>
        <w:t xml:space="preserve">Required revision: </w:t>
      </w:r>
      <w:r>
        <w:rPr>
          <w:i w:val="0"/>
          <w:sz w:val="20"/>
        </w:rPr>
        <w:t>Check which value is wrong (statistic, df or P), correct it, and revise the yield conclusions accordingly.</w:t>
      </w:r>
    </w:p>
    <w:p>
      <w:pPr>
        <w:spacing w:after="40"/>
      </w:pPr>
      <w:r>
        <w:rPr>
          <w:b/>
          <w:sz w:val="20"/>
        </w:rPr>
        <w:t xml:space="preserve">Evidence or verification needed: </w:t>
      </w:r>
      <w:r>
        <w:rPr>
          <w:i w:val="0"/>
          <w:sz w:val="20"/>
        </w:rPr>
        <w:t>The ANOVA table (SS, MS, df, F, P).</w:t>
      </w:r>
    </w:p>
    <w:p>
      <w:pPr>
        <w:keepNext/>
        <w:spacing w:before="160"/>
      </w:pPr>
      <w:r>
        <w:rPr>
          <w:b/>
          <w:sz w:val="21"/>
        </w:rPr>
        <w:t>C-004  |  Major  |  consistency  |  confirmed</w:t>
      </w:r>
    </w:p>
    <w:p>
      <w:pPr>
        <w:spacing w:after="40"/>
      </w:pPr>
      <w:r>
        <w:rPr>
          <w:b/>
          <w:sz w:val="20"/>
        </w:rPr>
        <w:t xml:space="preserve">Location: </w:t>
      </w:r>
      <w:r>
        <w:rPr>
          <w:i w:val="0"/>
          <w:sz w:val="20"/>
        </w:rPr>
        <w:t>Abstract</w:t>
      </w:r>
    </w:p>
    <w:p>
      <w:pPr>
        <w:spacing w:after="40"/>
      </w:pPr>
      <w:r>
        <w:rPr>
          <w:b/>
          <w:sz w:val="20"/>
        </w:rPr>
        <w:t xml:space="preserve">Original passage: </w:t>
      </w:r>
      <w:r>
        <w:rPr>
          <w:i/>
          <w:sz w:val="20"/>
        </w:rPr>
        <w:t>“increased grain yield by 23% relative to the control”</w:t>
      </w:r>
    </w:p>
    <w:p>
      <w:pPr>
        <w:spacing w:after="40"/>
      </w:pPr>
      <w:r>
        <w:rPr>
          <w:b/>
          <w:sz w:val="20"/>
        </w:rPr>
        <w:t xml:space="preserve">Reviewer comment: </w:t>
      </w:r>
      <w:r>
        <w:rPr>
          <w:i w:val="0"/>
          <w:sz w:val="20"/>
        </w:rPr>
        <w:t>The abstract reports a 23% yield increase. Table 1 means (4.82 and 5.71 t ha-1) give 18.5% ((5.71-4.82)/4.82), which is also what Section 3.1 states.</w:t>
      </w:r>
    </w:p>
    <w:p>
      <w:pPr>
        <w:spacing w:after="40"/>
      </w:pPr>
      <w:r>
        <w:rPr>
          <w:b/>
          <w:sz w:val="20"/>
        </w:rPr>
        <w:t xml:space="preserve">Scientific rationale: </w:t>
      </w:r>
      <w:r>
        <w:rPr>
          <w:i w:val="0"/>
          <w:sz w:val="20"/>
        </w:rPr>
        <w:t>The headline quantitative result in the abstract disagrees with the data and the Results text.</w:t>
      </w:r>
    </w:p>
    <w:p>
      <w:pPr>
        <w:spacing w:after="40"/>
      </w:pPr>
      <w:r>
        <w:rPr>
          <w:b/>
          <w:sz w:val="20"/>
        </w:rPr>
        <w:t xml:space="preserve">Required revision: </w:t>
      </w:r>
      <w:r>
        <w:rPr>
          <w:i w:val="0"/>
          <w:sz w:val="20"/>
        </w:rPr>
        <w:t>Reconcile the values and state how the percentage was computed (ratio of means, or mean of per-replicate ratios).</w:t>
      </w:r>
    </w:p>
    <w:p>
      <w:pPr>
        <w:spacing w:after="40"/>
      </w:pPr>
      <w:r>
        <w:rPr>
          <w:b/>
          <w:sz w:val="20"/>
        </w:rPr>
        <w:t xml:space="preserve">Suggested correction (example, not verified fact): </w:t>
      </w:r>
      <w:r>
        <w:rPr>
          <w:i w:val="0"/>
          <w:sz w:val="20"/>
        </w:rPr>
        <w:t>Example wording: "...increased grain yield by [percentage, 95% CI] relative to the control..."</w:t>
      </w:r>
    </w:p>
    <w:p>
      <w:pPr>
        <w:spacing w:after="40"/>
      </w:pPr>
      <w:r>
        <w:rPr>
          <w:b/>
          <w:sz w:val="20"/>
        </w:rPr>
        <w:t xml:space="preserve">Evidence or verification needed: </w:t>
      </w:r>
      <w:r>
        <w:rPr>
          <w:i w:val="0"/>
          <w:sz w:val="20"/>
        </w:rPr>
        <w:t>Per-pot yields.</w:t>
      </w:r>
    </w:p>
    <w:p>
      <w:pPr>
        <w:keepNext/>
        <w:spacing w:before="160"/>
      </w:pPr>
      <w:r>
        <w:rPr>
          <w:b/>
          <w:sz w:val="21"/>
        </w:rPr>
        <w:t>C-005  |  Major  |  interpretation  |  confirmed</w:t>
      </w:r>
    </w:p>
    <w:p>
      <w:pPr>
        <w:spacing w:after="40"/>
      </w:pPr>
      <w:r>
        <w:rPr>
          <w:b/>
          <w:sz w:val="20"/>
        </w:rPr>
        <w:t xml:space="preserve">Location: </w:t>
      </w:r>
      <w:r>
        <w:rPr>
          <w:i w:val="0"/>
          <w:sz w:val="20"/>
        </w:rPr>
        <w:t>4. Discussion</w:t>
      </w:r>
    </w:p>
    <w:p>
      <w:pPr>
        <w:spacing w:after="40"/>
      </w:pPr>
      <w:r>
        <w:rPr>
          <w:b/>
          <w:sz w:val="20"/>
        </w:rPr>
        <w:t xml:space="preserve">Original passage: </w:t>
      </w:r>
      <w:r>
        <w:rPr>
          <w:i/>
          <w:sz w:val="20"/>
        </w:rPr>
        <w:t>“are explained by improved soil water-holding capacity under biochar”</w:t>
      </w:r>
    </w:p>
    <w:p>
      <w:pPr>
        <w:spacing w:after="40"/>
      </w:pPr>
      <w:r>
        <w:rPr>
          <w:b/>
          <w:sz w:val="20"/>
        </w:rPr>
        <w:t xml:space="preserve">Reviewer comment: </w:t>
      </w:r>
      <w:r>
        <w:rPr>
          <w:i w:val="0"/>
          <w:sz w:val="20"/>
        </w:rPr>
        <w:t>Soil water-holding capacity, soil moisture and plant water status were not measured or reported, so the mechanism is a hypothesis, not a result. The statement is also written as established ("explained by").</w:t>
      </w:r>
    </w:p>
    <w:p>
      <w:pPr>
        <w:spacing w:after="40"/>
      </w:pPr>
      <w:r>
        <w:rPr>
          <w:b/>
          <w:sz w:val="20"/>
        </w:rPr>
        <w:t xml:space="preserve">Scientific rationale: </w:t>
      </w:r>
      <w:r>
        <w:rPr>
          <w:i w:val="0"/>
          <w:sz w:val="20"/>
        </w:rPr>
        <w:t>A mechanistic claim without measurements that test it can mislead readers; the same text reappears in the abstract.</w:t>
      </w:r>
    </w:p>
    <w:p>
      <w:pPr>
        <w:spacing w:after="40"/>
      </w:pPr>
      <w:r>
        <w:rPr>
          <w:b/>
          <w:sz w:val="20"/>
        </w:rPr>
        <w:t xml:space="preserve">Required revision: </w:t>
      </w:r>
      <w:r>
        <w:rPr>
          <w:i w:val="0"/>
          <w:sz w:val="20"/>
        </w:rPr>
        <w:t>Present water retention as one possible explanation among others (e.g. effects on microbial communities, nutrient availability), or add measurements (soil moisture, water retention curves, plant water status). Adjust the abstract accordingly.</w:t>
      </w:r>
    </w:p>
    <w:p>
      <w:pPr>
        <w:spacing w:after="40"/>
      </w:pPr>
      <w:r>
        <w:rPr>
          <w:b/>
          <w:sz w:val="20"/>
        </w:rPr>
        <w:t xml:space="preserve">Suggested correction (example, not verified fact): </w:t>
      </w:r>
      <w:r>
        <w:rPr>
          <w:i w:val="0"/>
          <w:sz w:val="20"/>
        </w:rPr>
        <w:t>Example wording: "One possible explanation is improved soil water retention, which was not measured here."</w:t>
      </w:r>
    </w:p>
    <w:p>
      <w:pPr>
        <w:keepNext/>
        <w:spacing w:before="160"/>
      </w:pPr>
      <w:r>
        <w:rPr>
          <w:b/>
          <w:sz w:val="21"/>
        </w:rPr>
        <w:t>C-006  |  Major  |  interpretation  |  confirmed</w:t>
      </w:r>
    </w:p>
    <w:p>
      <w:pPr>
        <w:spacing w:after="40"/>
      </w:pPr>
      <w:r>
        <w:rPr>
          <w:b/>
          <w:sz w:val="20"/>
        </w:rPr>
        <w:t xml:space="preserve">Location: </w:t>
      </w:r>
      <w:r>
        <w:rPr>
          <w:i w:val="0"/>
          <w:sz w:val="20"/>
        </w:rPr>
        <w:t>4. Discussion</w:t>
      </w:r>
    </w:p>
    <w:p>
      <w:pPr>
        <w:spacing w:after="40"/>
      </w:pPr>
      <w:r>
        <w:rPr>
          <w:b/>
          <w:sz w:val="20"/>
        </w:rPr>
        <w:t xml:space="preserve">Original passage: </w:t>
      </w:r>
      <w:r>
        <w:rPr>
          <w:i/>
          <w:sz w:val="20"/>
        </w:rPr>
        <w:t>“biochar should be applied at 10 t ha-1 by farmers to control crown rot and increase yield”</w:t>
      </w:r>
    </w:p>
    <w:p>
      <w:pPr>
        <w:spacing w:after="40"/>
      </w:pPr>
      <w:r>
        <w:rPr>
          <w:b/>
          <w:sz w:val="20"/>
        </w:rPr>
        <w:t xml:space="preserve">Reviewer comment: </w:t>
      </w:r>
      <w:r>
        <w:rPr>
          <w:i w:val="0"/>
          <w:sz w:val="20"/>
        </w:rPr>
        <w:t>A farm-level recommendation is drawn from one greenhouse experiment with one cultivar, one isolate and no field validation. The previous sentence of the same paragraph says the results "may not transfer to field conditions". The abstract and Conclusions repeat the recommendation without this caveat.</w:t>
      </w:r>
    </w:p>
    <w:p>
      <w:pPr>
        <w:spacing w:after="40"/>
      </w:pPr>
      <w:r>
        <w:rPr>
          <w:b/>
          <w:sz w:val="20"/>
        </w:rPr>
        <w:t xml:space="preserve">Scientific rationale: </w:t>
      </w:r>
      <w:r>
        <w:rPr>
          <w:i w:val="0"/>
          <w:sz w:val="20"/>
        </w:rPr>
        <w:t>The recommendation exceeds the evidence and contradicts the authors' own stated limitation; it also depends on a yield effect whose significance is in doubt (C-003).</w:t>
      </w:r>
    </w:p>
    <w:p>
      <w:pPr>
        <w:spacing w:after="40"/>
      </w:pPr>
      <w:r>
        <w:rPr>
          <w:b/>
          <w:sz w:val="20"/>
        </w:rPr>
        <w:t xml:space="preserve">Required revision: </w:t>
      </w:r>
      <w:r>
        <w:rPr>
          <w:i w:val="0"/>
          <w:sz w:val="20"/>
        </w:rPr>
        <w:t>Limit conclusions to the tested conditions and present agronomic recommendations as hypotheses for field testing; align Abstract, Discussion and Conclusions.</w:t>
      </w:r>
    </w:p>
    <w:p>
      <w:pPr>
        <w:keepNext/>
        <w:spacing w:before="160"/>
      </w:pPr>
      <w:r>
        <w:rPr>
          <w:b/>
          <w:sz w:val="21"/>
        </w:rPr>
        <w:t>C-007  |  Major  |  reproducibility  |  confirmed</w:t>
      </w:r>
    </w:p>
    <w:p>
      <w:pPr>
        <w:spacing w:after="40"/>
      </w:pPr>
      <w:r>
        <w:rPr>
          <w:b/>
          <w:sz w:val="20"/>
        </w:rPr>
        <w:t xml:space="preserve">Location: </w:t>
      </w:r>
      <w:r>
        <w:rPr>
          <w:i w:val="0"/>
          <w:sz w:val="20"/>
        </w:rPr>
        <w:t>2.3 Inoculation and disease assessment</w:t>
      </w:r>
    </w:p>
    <w:p>
      <w:pPr>
        <w:spacing w:after="40"/>
      </w:pPr>
      <w:r>
        <w:rPr>
          <w:b/>
          <w:sz w:val="20"/>
        </w:rPr>
        <w:t xml:space="preserve">Original passage: </w:t>
      </w:r>
      <w:r>
        <w:rPr>
          <w:i/>
          <w:sz w:val="20"/>
        </w:rPr>
        <w:t>“Plants were inoculated with Fusarium culmorum at tillering.”</w:t>
      </w:r>
    </w:p>
    <w:p>
      <w:pPr>
        <w:spacing w:after="40"/>
      </w:pPr>
      <w:r>
        <w:rPr>
          <w:b/>
          <w:sz w:val="20"/>
        </w:rPr>
        <w:t xml:space="preserve">Reviewer comment: </w:t>
      </w:r>
      <w:r>
        <w:rPr>
          <w:i w:val="0"/>
          <w:sz w:val="20"/>
        </w:rPr>
        <w:t>In the files supplied, the inoculation and scoring methods are insufficient to reproduce or interpret the disease data: isolate identity/source, inoculum type and concentration, inoculation method, mock-inoculated controls, the definition of the 0-5 scale, and whether scoring was blinded are not reported. The ordinal 0-5 scores are also analysed as continuous means.</w:t>
      </w:r>
    </w:p>
    <w:p>
      <w:pPr>
        <w:spacing w:after="40"/>
      </w:pPr>
      <w:r>
        <w:rPr>
          <w:b/>
          <w:sz w:val="20"/>
        </w:rPr>
        <w:t xml:space="preserve">Scientific rationale: </w:t>
      </w:r>
      <w:r>
        <w:rPr>
          <w:i w:val="0"/>
          <w:sz w:val="20"/>
        </w:rPr>
        <w:t>Disease severity is a primary outcome; without these details its validity and reproducibility cannot be judged, and unblinded subjective scoring can bias treatment comparisons.</w:t>
      </w:r>
    </w:p>
    <w:p>
      <w:pPr>
        <w:spacing w:after="40"/>
      </w:pPr>
      <w:r>
        <w:rPr>
          <w:b/>
          <w:sz w:val="20"/>
        </w:rPr>
        <w:t xml:space="preserve">Required revision: </w:t>
      </w:r>
      <w:r>
        <w:rPr>
          <w:i w:val="0"/>
          <w:sz w:val="20"/>
        </w:rPr>
        <w:t>Report these details (and any supplement that contains them); state how bias was controlled; justify analysing ordinal scores with ANOVA or use an ordinal model, or a validated conversion to percent area.</w:t>
      </w:r>
    </w:p>
    <w:p>
      <w:pPr>
        <w:spacing w:after="40"/>
      </w:pPr>
      <w:r>
        <w:rPr>
          <w:b/>
          <w:sz w:val="20"/>
        </w:rPr>
        <w:t xml:space="preserve">Evidence or verification needed: </w:t>
      </w:r>
      <w:r>
        <w:rPr>
          <w:i w:val="0"/>
          <w:sz w:val="20"/>
        </w:rPr>
        <w:t>Isolate ID, inoculum dose, scale definition or diagrams, blinding statement.</w:t>
      </w:r>
    </w:p>
    <w:p>
      <w:pPr>
        <w:sectPr>
          <w:footerReference w:type="default" r:id="rId9"/>
          <w:pgSz w:w="12240" w:h="15840"/>
          <w:pgMar w:top="1134" w:right="1247" w:bottom="1134" w:left="1247" w:header="720" w:footer="720" w:gutter="0"/>
          <w:cols w:space="720"/>
          <w:docGrid w:linePitch="360"/>
        </w:sectPr>
      </w:pPr>
    </w:p>
    <w:p>
      <w:pPr>
        <w:pStyle w:val="Heading1"/>
      </w:pPr>
      <w:r>
        <w:t>5. Minor and optional comments</w:t>
      </w:r>
    </w:p>
    <w:tbl>
      <w:tblPr>
        <w:tblStyle w:val="TableGrid"/>
        <w:tblW w:type="auto" w:w="0"/>
        <w:jc w:val="center"/>
        <w:tblLayout w:type="fixed"/>
        <w:tblLook w:firstColumn="1" w:firstRow="1" w:lastColumn="0" w:lastRow="0" w:noHBand="0" w:noVBand="1" w:val="04A0"/>
        <w:tblLayout w:type="fixed"/>
      </w:tblPr>
      <w:tblGrid>
        <w:gridCol w:w="794"/>
        <w:gridCol w:w="964"/>
        <w:gridCol w:w="1191"/>
        <w:gridCol w:w="1871"/>
        <w:gridCol w:w="2835"/>
        <w:gridCol w:w="4535"/>
        <w:gridCol w:w="2948"/>
      </w:tblGrid>
      <w:tr>
        <w:trPr>
          <w:tblHeader w:val="true"/>
        </w:trPr>
        <w:tc>
          <w:tcPr>
            <w:tcW w:type="dxa" w:w="794"/>
            <w:shd w:val="clear" w:color="auto" w:fill="2E4A62"/>
          </w:tcPr>
          <w:p>
            <w:r/>
            <w:r>
              <w:rPr>
                <w:b/>
                <w:color w:val="FFFFFF"/>
                <w:sz w:val="17"/>
              </w:rPr>
              <w:t>ID</w:t>
            </w:r>
          </w:p>
        </w:tc>
        <w:tc>
          <w:tcPr>
            <w:tcW w:type="dxa" w:w="964"/>
            <w:shd w:val="clear" w:color="auto" w:fill="2E4A62"/>
          </w:tcPr>
          <w:p>
            <w:r/>
            <w:r>
              <w:rPr>
                <w:b/>
                <w:color w:val="FFFFFF"/>
                <w:sz w:val="17"/>
              </w:rPr>
              <w:t>Severity</w:t>
            </w:r>
          </w:p>
        </w:tc>
        <w:tc>
          <w:tcPr>
            <w:tcW w:type="dxa" w:w="1191"/>
            <w:shd w:val="clear" w:color="auto" w:fill="2E4A62"/>
          </w:tcPr>
          <w:p>
            <w:r/>
            <w:r>
              <w:rPr>
                <w:b/>
                <w:color w:val="FFFFFF"/>
                <w:sz w:val="17"/>
              </w:rPr>
              <w:t>Category</w:t>
            </w:r>
          </w:p>
        </w:tc>
        <w:tc>
          <w:tcPr>
            <w:tcW w:type="dxa" w:w="1871"/>
            <w:shd w:val="clear" w:color="auto" w:fill="2E4A62"/>
          </w:tcPr>
          <w:p>
            <w:r/>
            <w:r>
              <w:rPr>
                <w:b/>
                <w:color w:val="FFFFFF"/>
                <w:sz w:val="17"/>
              </w:rPr>
              <w:t>Location</w:t>
            </w:r>
          </w:p>
        </w:tc>
        <w:tc>
          <w:tcPr>
            <w:tcW w:type="dxa" w:w="2835"/>
            <w:shd w:val="clear" w:color="auto" w:fill="2E4A62"/>
          </w:tcPr>
          <w:p>
            <w:r/>
            <w:r>
              <w:rPr>
                <w:b/>
                <w:color w:val="FFFFFF"/>
                <w:sz w:val="17"/>
              </w:rPr>
              <w:t>Original passage</w:t>
            </w:r>
          </w:p>
        </w:tc>
        <w:tc>
          <w:tcPr>
            <w:tcW w:type="dxa" w:w="4535"/>
            <w:shd w:val="clear" w:color="auto" w:fill="2E4A62"/>
          </w:tcPr>
          <w:p>
            <w:r/>
            <w:r>
              <w:rPr>
                <w:b/>
                <w:color w:val="FFFFFF"/>
                <w:sz w:val="17"/>
              </w:rPr>
              <w:t>Comment / required revision</w:t>
            </w:r>
          </w:p>
        </w:tc>
        <w:tc>
          <w:tcPr>
            <w:tcW w:type="dxa" w:w="2948"/>
            <w:shd w:val="clear" w:color="auto" w:fill="2E4A62"/>
          </w:tcPr>
          <w:p>
            <w:r/>
            <w:r>
              <w:rPr>
                <w:b/>
                <w:color w:val="FFFFFF"/>
                <w:sz w:val="17"/>
              </w:rPr>
              <w:t>Suggested correction</w:t>
            </w:r>
          </w:p>
        </w:tc>
      </w:tr>
      <w:tr>
        <w:trPr>
          <w:cantSplit w:val="true"/>
        </w:trPr>
        <w:tc>
          <w:tcPr>
            <w:tcW w:type="dxa" w:w="794"/>
          </w:tcPr>
          <w:p>
            <w:r/>
            <w:r>
              <w:rPr>
                <w:sz w:val="17"/>
              </w:rPr>
              <w:t>C-008</w:t>
            </w:r>
          </w:p>
        </w:tc>
        <w:tc>
          <w:tcPr>
            <w:tcW w:type="dxa" w:w="964"/>
            <w:shd w:val="clear" w:color="auto" w:fill="FCF3CF"/>
          </w:tcPr>
          <w:p>
            <w:r/>
            <w:r>
              <w:rPr>
                <w:b/>
                <w:sz w:val="17"/>
              </w:rPr>
              <w:t>Minor</w:t>
            </w:r>
          </w:p>
        </w:tc>
        <w:tc>
          <w:tcPr>
            <w:tcW w:type="dxa" w:w="1191"/>
          </w:tcPr>
          <w:p>
            <w:r/>
            <w:r>
              <w:rPr>
                <w:sz w:val="17"/>
              </w:rPr>
              <w:t>statistics</w:t>
            </w:r>
          </w:p>
        </w:tc>
        <w:tc>
          <w:tcPr>
            <w:tcW w:type="dxa" w:w="1871"/>
          </w:tcPr>
          <w:p>
            <w:r/>
            <w:r>
              <w:rPr>
                <w:sz w:val="17"/>
              </w:rPr>
              <w:t>2.4 Statistical analysis</w:t>
            </w:r>
          </w:p>
        </w:tc>
        <w:tc>
          <w:tcPr>
            <w:tcW w:type="dxa" w:w="2835"/>
          </w:tcPr>
          <w:p>
            <w:r/>
            <w:r>
              <w:rPr>
                <w:sz w:val="17"/>
              </w:rPr>
              <w:t>Fisher's LSD test at P &lt; 0.05 for all pairwise comparisons</w:t>
            </w:r>
          </w:p>
        </w:tc>
        <w:tc>
          <w:tcPr>
            <w:tcW w:type="dxa" w:w="4535"/>
          </w:tcPr>
          <w:p>
            <w:r/>
            <w:r>
              <w:rPr>
                <w:sz w:val="17"/>
              </w:rPr>
              <w:t>Unadjusted LSD across the six pairwise comparisons inflates the family-wise error rate; its protection also presumes a significant omnibus F, which does not hold if P is about 0.06 (C-003). Use a method that controls the family-wise error for the question asked (e.g. Tukey for all pairs, Dunnett for comparisons with the control) or justify LSD.</w:t>
            </w:r>
          </w:p>
        </w:tc>
        <w:tc>
          <w:tcPr>
            <w:tcW w:type="dxa" w:w="2948"/>
          </w:tcPr>
          <w:p>
            <w:r/>
            <w:r>
              <w:rPr>
                <w:sz w:val="17"/>
              </w:rPr>
            </w:r>
          </w:p>
        </w:tc>
      </w:tr>
      <w:tr>
        <w:trPr>
          <w:cantSplit w:val="true"/>
        </w:trPr>
        <w:tc>
          <w:tcPr>
            <w:tcW w:type="dxa" w:w="794"/>
          </w:tcPr>
          <w:p>
            <w:r/>
            <w:r>
              <w:rPr>
                <w:sz w:val="17"/>
              </w:rPr>
              <w:t>C-009</w:t>
            </w:r>
          </w:p>
        </w:tc>
        <w:tc>
          <w:tcPr>
            <w:tcW w:type="dxa" w:w="964"/>
            <w:shd w:val="clear" w:color="auto" w:fill="FCF3CF"/>
          </w:tcPr>
          <w:p>
            <w:r/>
            <w:r>
              <w:rPr>
                <w:b/>
                <w:sz w:val="17"/>
              </w:rPr>
              <w:t>Minor</w:t>
            </w:r>
          </w:p>
        </w:tc>
        <w:tc>
          <w:tcPr>
            <w:tcW w:type="dxa" w:w="1191"/>
          </w:tcPr>
          <w:p>
            <w:r/>
            <w:r>
              <w:rPr>
                <w:sz w:val="17"/>
              </w:rPr>
              <w:t>figures-tables</w:t>
            </w:r>
          </w:p>
        </w:tc>
        <w:tc>
          <w:tcPr>
            <w:tcW w:type="dxa" w:w="1871"/>
          </w:tcPr>
          <w:p>
            <w:r/>
            <w:r>
              <w:rPr>
                <w:sz w:val="17"/>
              </w:rPr>
              <w:t>Table 1</w:t>
            </w:r>
          </w:p>
        </w:tc>
        <w:tc>
          <w:tcPr>
            <w:tcW w:type="dxa" w:w="2835"/>
          </w:tcPr>
          <w:p>
            <w:r/>
            <w:r>
              <w:rPr>
                <w:sz w:val="17"/>
              </w:rPr>
              <w:t>4.82 ± 0.31</w:t>
            </w:r>
          </w:p>
        </w:tc>
        <w:tc>
          <w:tcPr>
            <w:tcW w:type="dxa" w:w="4535"/>
          </w:tcPr>
          <w:p>
            <w:r/>
            <w:r>
              <w:rPr>
                <w:sz w:val="17"/>
              </w:rPr>
              <w:t>The dispersion measure after "±" is not defined (SD, SE or CI), and the table legend does not state it. State the measure in the legend and give n; report mean differences with confidence intervals.</w:t>
            </w:r>
          </w:p>
        </w:tc>
        <w:tc>
          <w:tcPr>
            <w:tcW w:type="dxa" w:w="2948"/>
          </w:tcPr>
          <w:p>
            <w:r/>
            <w:r>
              <w:rPr>
                <w:sz w:val="17"/>
              </w:rPr>
            </w:r>
          </w:p>
        </w:tc>
      </w:tr>
      <w:tr>
        <w:trPr>
          <w:cantSplit w:val="true"/>
        </w:trPr>
        <w:tc>
          <w:tcPr>
            <w:tcW w:type="dxa" w:w="794"/>
          </w:tcPr>
          <w:p>
            <w:r/>
            <w:r>
              <w:rPr>
                <w:sz w:val="17"/>
              </w:rPr>
              <w:t>C-010</w:t>
            </w:r>
          </w:p>
        </w:tc>
        <w:tc>
          <w:tcPr>
            <w:tcW w:type="dxa" w:w="964"/>
            <w:shd w:val="clear" w:color="auto" w:fill="FCF3CF"/>
          </w:tcPr>
          <w:p>
            <w:r/>
            <w:r>
              <w:rPr>
                <w:b/>
                <w:sz w:val="17"/>
              </w:rPr>
              <w:t>Minor</w:t>
            </w:r>
          </w:p>
        </w:tc>
        <w:tc>
          <w:tcPr>
            <w:tcW w:type="dxa" w:w="1191"/>
          </w:tcPr>
          <w:p>
            <w:r/>
            <w:r>
              <w:rPr>
                <w:sz w:val="17"/>
              </w:rPr>
              <w:t>consistency</w:t>
            </w:r>
          </w:p>
        </w:tc>
        <w:tc>
          <w:tcPr>
            <w:tcW w:type="dxa" w:w="1871"/>
          </w:tcPr>
          <w:p>
            <w:r/>
            <w:r>
              <w:rPr>
                <w:sz w:val="17"/>
              </w:rPr>
              <w:t>3.2 Crown rot severity</w:t>
            </w:r>
          </w:p>
        </w:tc>
        <w:tc>
          <w:tcPr>
            <w:tcW w:type="dxa" w:w="2835"/>
          </w:tcPr>
          <w:p>
            <w:r/>
            <w:r>
              <w:rPr>
                <w:sz w:val="17"/>
              </w:rPr>
              <w:t>decreased with increasing biochar rate</w:t>
            </w:r>
          </w:p>
        </w:tc>
        <w:tc>
          <w:tcPr>
            <w:tcW w:type="dxa" w:w="4535"/>
          </w:tcPr>
          <w:p>
            <w:r/>
            <w:r>
              <w:rPr>
                <w:sz w:val="17"/>
              </w:rPr>
              <w:t>The reported means (3.9, 3.4, 2.6, 2.8) are not monotonic: severity is slightly higher at 20 than at 10 t ha-1. Describe the pattern accurately (e.g. lowest at 10 t ha-1, no further reduction at 20 t ha-1) and state whether 10 and 20 differ.</w:t>
            </w:r>
          </w:p>
        </w:tc>
        <w:tc>
          <w:tcPr>
            <w:tcW w:type="dxa" w:w="2948"/>
          </w:tcPr>
          <w:p>
            <w:r/>
            <w:r>
              <w:rPr>
                <w:sz w:val="17"/>
              </w:rPr>
            </w:r>
          </w:p>
        </w:tc>
      </w:tr>
      <w:tr>
        <w:trPr>
          <w:cantSplit w:val="true"/>
        </w:trPr>
        <w:tc>
          <w:tcPr>
            <w:tcW w:type="dxa" w:w="794"/>
          </w:tcPr>
          <w:p>
            <w:r/>
            <w:r>
              <w:rPr>
                <w:sz w:val="17"/>
              </w:rPr>
              <w:t>C-011</w:t>
            </w:r>
          </w:p>
        </w:tc>
        <w:tc>
          <w:tcPr>
            <w:tcW w:type="dxa" w:w="964"/>
            <w:shd w:val="clear" w:color="auto" w:fill="FCF3CF"/>
          </w:tcPr>
          <w:p>
            <w:r/>
            <w:r>
              <w:rPr>
                <w:b/>
                <w:sz w:val="17"/>
              </w:rPr>
              <w:t>Minor</w:t>
            </w:r>
          </w:p>
        </w:tc>
        <w:tc>
          <w:tcPr>
            <w:tcW w:type="dxa" w:w="1191"/>
          </w:tcPr>
          <w:p>
            <w:r/>
            <w:r>
              <w:rPr>
                <w:sz w:val="17"/>
              </w:rPr>
              <w:t>reproducibility</w:t>
            </w:r>
          </w:p>
        </w:tc>
        <w:tc>
          <w:tcPr>
            <w:tcW w:type="dxa" w:w="1871"/>
          </w:tcPr>
          <w:p>
            <w:r/>
            <w:r>
              <w:rPr>
                <w:sz w:val="17"/>
              </w:rPr>
              <w:t>2.4 Statistical analysis</w:t>
            </w:r>
          </w:p>
        </w:tc>
        <w:tc>
          <w:tcPr>
            <w:tcW w:type="dxa" w:w="2835"/>
          </w:tcPr>
          <w:p>
            <w:r/>
            <w:r>
              <w:rPr>
                <w:sz w:val="17"/>
              </w:rPr>
              <w:t>Analyses were done in R.</w:t>
            </w:r>
          </w:p>
        </w:tc>
        <w:tc>
          <w:tcPr>
            <w:tcW w:type="dxa" w:w="4535"/>
          </w:tcPr>
          <w:p>
            <w:r/>
            <w:r>
              <w:rPr>
                <w:sz w:val="17"/>
              </w:rPr>
              <w:t>No software version, packages or model code are given, and no data availability statement is included (none seen in the files supplied). Report versions and packages, and deposit data and code or state why they cannot be shared (check the journal's data policy).</w:t>
            </w:r>
          </w:p>
        </w:tc>
        <w:tc>
          <w:tcPr>
            <w:tcW w:type="dxa" w:w="2948"/>
          </w:tcPr>
          <w:p>
            <w:r/>
            <w:r>
              <w:rPr>
                <w:sz w:val="17"/>
              </w:rPr>
            </w:r>
          </w:p>
        </w:tc>
      </w:tr>
      <w:tr>
        <w:trPr>
          <w:cantSplit w:val="true"/>
        </w:trPr>
        <w:tc>
          <w:tcPr>
            <w:tcW w:type="dxa" w:w="794"/>
          </w:tcPr>
          <w:p>
            <w:r/>
            <w:r>
              <w:rPr>
                <w:sz w:val="17"/>
              </w:rPr>
              <w:t>C-012</w:t>
            </w:r>
          </w:p>
        </w:tc>
        <w:tc>
          <w:tcPr>
            <w:tcW w:type="dxa" w:w="964"/>
            <w:shd w:val="clear" w:color="auto" w:fill="FCF3CF"/>
          </w:tcPr>
          <w:p>
            <w:r/>
            <w:r>
              <w:rPr>
                <w:b/>
                <w:sz w:val="17"/>
              </w:rPr>
              <w:t>Minor</w:t>
            </w:r>
          </w:p>
        </w:tc>
        <w:tc>
          <w:tcPr>
            <w:tcW w:type="dxa" w:w="1191"/>
          </w:tcPr>
          <w:p>
            <w:r/>
            <w:r>
              <w:rPr>
                <w:sz w:val="17"/>
              </w:rPr>
              <w:t>reporting</w:t>
            </w:r>
          </w:p>
        </w:tc>
        <w:tc>
          <w:tcPr>
            <w:tcW w:type="dxa" w:w="1871"/>
          </w:tcPr>
          <w:p>
            <w:r/>
            <w:r>
              <w:rPr>
                <w:sz w:val="17"/>
              </w:rPr>
              <w:t>2.3 Inoculation and disease assessment</w:t>
            </w:r>
          </w:p>
        </w:tc>
        <w:tc>
          <w:tcPr>
            <w:tcW w:type="dxa" w:w="2835"/>
          </w:tcPr>
          <w:p>
            <w:r/>
            <w:r>
              <w:rPr>
                <w:sz w:val="17"/>
              </w:rPr>
              <w:t>converted to t ha-1</w:t>
            </w:r>
          </w:p>
        </w:tc>
        <w:tc>
          <w:tcPr>
            <w:tcW w:type="dxa" w:w="4535"/>
          </w:tcPr>
          <w:p>
            <w:r/>
            <w:r>
              <w:rPr>
                <w:sz w:val="17"/>
              </w:rPr>
              <w:t>The conversion from yield per 5 L pot (and from biochar t ha-1 equivalent in Section 2.2) to per-hectare values is not described. State the area basis and plant density used for both conversions, and note that pot-based yield extrapolation to field values is approximate.</w:t>
            </w:r>
          </w:p>
        </w:tc>
        <w:tc>
          <w:tcPr>
            <w:tcW w:type="dxa" w:w="2948"/>
          </w:tcPr>
          <w:p>
            <w:r/>
            <w:r>
              <w:rPr>
                <w:sz w:val="17"/>
              </w:rPr>
            </w:r>
          </w:p>
        </w:tc>
      </w:tr>
      <w:tr>
        <w:trPr>
          <w:cantSplit w:val="true"/>
        </w:trPr>
        <w:tc>
          <w:tcPr>
            <w:tcW w:type="dxa" w:w="794"/>
          </w:tcPr>
          <w:p>
            <w:r/>
            <w:r>
              <w:rPr>
                <w:sz w:val="17"/>
              </w:rPr>
              <w:t>C-013</w:t>
            </w:r>
          </w:p>
        </w:tc>
        <w:tc>
          <w:tcPr>
            <w:tcW w:type="dxa" w:w="964"/>
            <w:shd w:val="clear" w:color="auto" w:fill="D6EAF8"/>
          </w:tcPr>
          <w:p>
            <w:r/>
            <w:r>
              <w:rPr>
                <w:b/>
                <w:sz w:val="17"/>
              </w:rPr>
              <w:t>Optional</w:t>
            </w:r>
          </w:p>
        </w:tc>
        <w:tc>
          <w:tcPr>
            <w:tcW w:type="dxa" w:w="1191"/>
          </w:tcPr>
          <w:p>
            <w:r/>
            <w:r>
              <w:rPr>
                <w:sz w:val="17"/>
              </w:rPr>
              <w:t>statistics</w:t>
            </w:r>
          </w:p>
        </w:tc>
        <w:tc>
          <w:tcPr>
            <w:tcW w:type="dxa" w:w="1871"/>
          </w:tcPr>
          <w:p>
            <w:r/>
            <w:r>
              <w:rPr>
                <w:sz w:val="17"/>
              </w:rPr>
              <w:t>3.1 Grain yield</w:t>
            </w:r>
          </w:p>
        </w:tc>
        <w:tc>
          <w:tcPr>
            <w:tcW w:type="dxa" w:w="2835"/>
          </w:tcPr>
          <w:p>
            <w:r/>
            <w:r>
              <w:rPr>
                <w:sz w:val="17"/>
              </w:rPr>
              <w:t>an increase of 18.5%</w:t>
            </w:r>
          </w:p>
        </w:tc>
        <w:tc>
          <w:tcPr>
            <w:tcW w:type="dxa" w:w="4535"/>
          </w:tcPr>
          <w:p>
            <w:r/>
            <w:r>
              <w:rPr>
                <w:sz w:val="17"/>
              </w:rPr>
              <w:t>With four ordered rates, a dose-response analysis (regression on rate, possibly with a plateau) would use the information better than pairwise comparison, and effect estimates with 95% confidence intervals would show the uncertainty. Optional: report the estimated difference and 95% CI, and consider a response-curve model once the experimental-unit issue is resolved.</w:t>
            </w:r>
          </w:p>
        </w:tc>
        <w:tc>
          <w:tcPr>
            <w:tcW w:type="dxa" w:w="2948"/>
          </w:tcPr>
          <w:p>
            <w:r/>
            <w:r>
              <w:rPr>
                <w:sz w:val="17"/>
              </w:rPr>
            </w:r>
          </w:p>
        </w:tc>
      </w:tr>
    </w:tbl>
    <w:p>
      <w:pPr>
        <w:sectPr>
          <w:pgSz w:w="15840" w:h="12240" w:orient="landscape"/>
          <w:pgMar w:top="907" w:right="907" w:bottom="907" w:left="907" w:header="720" w:footer="720" w:gutter="0"/>
          <w:cols w:space="720"/>
          <w:docGrid w:linePitch="360"/>
        </w:sectPr>
      </w:pPr>
    </w:p>
    <w:p>
      <w:pPr>
        <w:pStyle w:val="Heading1"/>
      </w:pPr>
      <w:r>
        <w:t>11. What this review could not assess</w:t>
      </w:r>
    </w:p>
    <w:p>
      <w:pPr>
        <w:pStyle w:val="ListBullet"/>
      </w:pPr>
      <w:r>
        <w:rPr>
          <w:sz w:val="20"/>
        </w:rPr>
        <w:t>No supplement, raw data or code; Figure 1 image not included in the example.</w:t>
      </w:r>
    </w:p>
    <w:p>
      <w:pPr>
        <w:sectPr>
          <w:pgSz w:w="12240" w:h="15840"/>
          <w:pgMar w:top="1134" w:right="1247" w:bottom="1134" w:left="1247" w:header="720" w:footer="720" w:gutter="0"/>
          <w:cols w:space="720"/>
          <w:docGrid w:linePitch="360"/>
        </w:sectPr>
      </w:pPr>
    </w:p>
    <w:p>
      <w:pPr>
        <w:pStyle w:val="Heading1"/>
      </w:pPr>
      <w:r>
        <w:t>Appendix A. Complete comment ledger</w:t>
      </w:r>
    </w:p>
    <w:tbl>
      <w:tblPr>
        <w:tblStyle w:val="TableGrid"/>
        <w:tblW w:type="auto" w:w="0"/>
        <w:jc w:val="center"/>
        <w:tblLayout w:type="fixed"/>
        <w:tblLook w:firstColumn="1" w:firstRow="1" w:lastColumn="0" w:lastRow="0" w:noHBand="0" w:noVBand="1" w:val="04A0"/>
        <w:tblLayout w:type="fixed"/>
      </w:tblPr>
      <w:tblGrid>
        <w:gridCol w:w="794"/>
        <w:gridCol w:w="1020"/>
        <w:gridCol w:w="1134"/>
        <w:gridCol w:w="1361"/>
        <w:gridCol w:w="3175"/>
        <w:gridCol w:w="6973"/>
      </w:tblGrid>
      <w:tr>
        <w:trPr>
          <w:tblHeader w:val="true"/>
        </w:trPr>
        <w:tc>
          <w:tcPr>
            <w:tcW w:type="dxa" w:w="794"/>
            <w:shd w:val="clear" w:color="auto" w:fill="2E4A62"/>
          </w:tcPr>
          <w:p>
            <w:r/>
            <w:r>
              <w:rPr>
                <w:b/>
                <w:color w:val="FFFFFF"/>
                <w:sz w:val="17"/>
              </w:rPr>
              <w:t>ID</w:t>
            </w:r>
          </w:p>
        </w:tc>
        <w:tc>
          <w:tcPr>
            <w:tcW w:type="dxa" w:w="1020"/>
            <w:shd w:val="clear" w:color="auto" w:fill="2E4A62"/>
          </w:tcPr>
          <w:p>
            <w:r/>
            <w:r>
              <w:rPr>
                <w:b/>
                <w:color w:val="FFFFFF"/>
                <w:sz w:val="17"/>
              </w:rPr>
              <w:t>Severity</w:t>
            </w:r>
          </w:p>
        </w:tc>
        <w:tc>
          <w:tcPr>
            <w:tcW w:type="dxa" w:w="1134"/>
            <w:shd w:val="clear" w:color="auto" w:fill="2E4A62"/>
          </w:tcPr>
          <w:p>
            <w:r/>
            <w:r>
              <w:rPr>
                <w:b/>
                <w:color w:val="FFFFFF"/>
                <w:sz w:val="17"/>
              </w:rPr>
              <w:t>Status</w:t>
            </w:r>
          </w:p>
        </w:tc>
        <w:tc>
          <w:tcPr>
            <w:tcW w:type="dxa" w:w="1361"/>
            <w:shd w:val="clear" w:color="auto" w:fill="2E4A62"/>
          </w:tcPr>
          <w:p>
            <w:r/>
            <w:r>
              <w:rPr>
                <w:b/>
                <w:color w:val="FFFFFF"/>
                <w:sz w:val="17"/>
              </w:rPr>
              <w:t>Category</w:t>
            </w:r>
          </w:p>
        </w:tc>
        <w:tc>
          <w:tcPr>
            <w:tcW w:type="dxa" w:w="3175"/>
            <w:shd w:val="clear" w:color="auto" w:fill="2E4A62"/>
          </w:tcPr>
          <w:p>
            <w:r/>
            <w:r>
              <w:rPr>
                <w:b/>
                <w:color w:val="FFFFFF"/>
                <w:sz w:val="17"/>
              </w:rPr>
              <w:t>Location</w:t>
            </w:r>
          </w:p>
        </w:tc>
        <w:tc>
          <w:tcPr>
            <w:tcW w:type="dxa" w:w="6973"/>
            <w:shd w:val="clear" w:color="auto" w:fill="2E4A62"/>
          </w:tcPr>
          <w:p>
            <w:r/>
            <w:r>
              <w:rPr>
                <w:b/>
                <w:color w:val="FFFFFF"/>
                <w:sz w:val="17"/>
              </w:rPr>
              <w:t>Comment (short)</w:t>
            </w:r>
          </w:p>
        </w:tc>
      </w:tr>
      <w:tr>
        <w:trPr>
          <w:cantSplit w:val="true"/>
        </w:trPr>
        <w:tc>
          <w:tcPr>
            <w:tcW w:type="dxa" w:w="794"/>
          </w:tcPr>
          <w:p>
            <w:r/>
            <w:r>
              <w:rPr>
                <w:sz w:val="17"/>
              </w:rPr>
              <w:t>C-001</w:t>
            </w:r>
          </w:p>
        </w:tc>
        <w:tc>
          <w:tcPr>
            <w:tcW w:type="dxa" w:w="1020"/>
            <w:shd w:val="clear" w:color="auto" w:fill="F4B6B6"/>
          </w:tcPr>
          <w:p>
            <w:r/>
            <w:r>
              <w:rPr>
                <w:b/>
                <w:sz w:val="17"/>
              </w:rPr>
              <w:t>Critical</w:t>
            </w:r>
          </w:p>
        </w:tc>
        <w:tc>
          <w:tcPr>
            <w:tcW w:type="dxa" w:w="1134"/>
          </w:tcPr>
          <w:p>
            <w:r/>
            <w:r>
              <w:rPr>
                <w:sz w:val="17"/>
              </w:rPr>
              <w:t>confirmed</w:t>
            </w:r>
          </w:p>
        </w:tc>
        <w:tc>
          <w:tcPr>
            <w:tcW w:type="dxa" w:w="1361"/>
          </w:tcPr>
          <w:p>
            <w:r/>
            <w:r>
              <w:rPr>
                <w:sz w:val="17"/>
              </w:rPr>
              <w:t>design</w:t>
            </w:r>
          </w:p>
        </w:tc>
        <w:tc>
          <w:tcPr>
            <w:tcW w:type="dxa" w:w="3175"/>
          </w:tcPr>
          <w:p>
            <w:r/>
            <w:r>
              <w:rPr>
                <w:sz w:val="17"/>
              </w:rPr>
              <w:t>2.2 Treatments</w:t>
            </w:r>
          </w:p>
        </w:tc>
        <w:tc>
          <w:tcPr>
            <w:tcW w:type="dxa" w:w="6973"/>
          </w:tcPr>
          <w:p>
            <w:r/>
            <w:r>
              <w:rPr>
                <w:sz w:val="17"/>
              </w:rPr>
              <w:t>Biochar rate was applied to whole benches, one bench per rate. Rate is therefore completely confounded with bench (light, temperature and irrigation position can differ between benches), and the six pots on a bench are subsamples of one treatment application, ...</w:t>
            </w:r>
          </w:p>
        </w:tc>
      </w:tr>
      <w:tr>
        <w:trPr>
          <w:cantSplit w:val="true"/>
        </w:trPr>
        <w:tc>
          <w:tcPr>
            <w:tcW w:type="dxa" w:w="794"/>
          </w:tcPr>
          <w:p>
            <w:r/>
            <w:r>
              <w:rPr>
                <w:sz w:val="17"/>
              </w:rPr>
              <w:t>C-002</w:t>
            </w:r>
          </w:p>
        </w:tc>
        <w:tc>
          <w:tcPr>
            <w:tcW w:type="dxa" w:w="1020"/>
            <w:shd w:val="clear" w:color="auto" w:fill="FAD7A0"/>
          </w:tcPr>
          <w:p>
            <w:r/>
            <w:r>
              <w:rPr>
                <w:b/>
                <w:sz w:val="17"/>
              </w:rPr>
              <w:t>Major</w:t>
            </w:r>
          </w:p>
        </w:tc>
        <w:tc>
          <w:tcPr>
            <w:tcW w:type="dxa" w:w="1134"/>
          </w:tcPr>
          <w:p>
            <w:r/>
            <w:r>
              <w:rPr>
                <w:sz w:val="17"/>
              </w:rPr>
              <w:t>confirmed</w:t>
            </w:r>
          </w:p>
        </w:tc>
        <w:tc>
          <w:tcPr>
            <w:tcW w:type="dxa" w:w="1361"/>
          </w:tcPr>
          <w:p>
            <w:r/>
            <w:r>
              <w:rPr>
                <w:sz w:val="17"/>
              </w:rPr>
              <w:t>statistics</w:t>
            </w:r>
          </w:p>
        </w:tc>
        <w:tc>
          <w:tcPr>
            <w:tcW w:type="dxa" w:w="3175"/>
          </w:tcPr>
          <w:p>
            <w:r/>
            <w:r>
              <w:rPr>
                <w:sz w:val="17"/>
              </w:rPr>
              <w:t>2.4 Statistical analysis</w:t>
            </w:r>
          </w:p>
        </w:tc>
        <w:tc>
          <w:tcPr>
            <w:tcW w:type="dxa" w:w="6973"/>
          </w:tcPr>
          <w:p>
            <w:r/>
            <w:r>
              <w:rPr>
                <w:sz w:val="17"/>
              </w:rPr>
              <w:t>Crown rot was scored on the same pots at four dates (2.3), yet each pot-by-date observation is analysed as an independent replicate. The reported F(3,92) in 3.2 corresponds to 96 observations (24 pots x 4 dates), confirming that repeated measurements were trea...</w:t>
            </w:r>
          </w:p>
        </w:tc>
      </w:tr>
      <w:tr>
        <w:trPr>
          <w:cantSplit w:val="true"/>
        </w:trPr>
        <w:tc>
          <w:tcPr>
            <w:tcW w:type="dxa" w:w="794"/>
          </w:tcPr>
          <w:p>
            <w:r/>
            <w:r>
              <w:rPr>
                <w:sz w:val="17"/>
              </w:rPr>
              <w:t>C-003</w:t>
            </w:r>
          </w:p>
        </w:tc>
        <w:tc>
          <w:tcPr>
            <w:tcW w:type="dxa" w:w="1020"/>
            <w:shd w:val="clear" w:color="auto" w:fill="FAD7A0"/>
          </w:tcPr>
          <w:p>
            <w:r/>
            <w:r>
              <w:rPr>
                <w:b/>
                <w:sz w:val="17"/>
              </w:rPr>
              <w:t>Major</w:t>
            </w:r>
          </w:p>
        </w:tc>
        <w:tc>
          <w:tcPr>
            <w:tcW w:type="dxa" w:w="1134"/>
          </w:tcPr>
          <w:p>
            <w:r/>
            <w:r>
              <w:rPr>
                <w:sz w:val="17"/>
              </w:rPr>
              <w:t>confirmed</w:t>
            </w:r>
          </w:p>
        </w:tc>
        <w:tc>
          <w:tcPr>
            <w:tcW w:type="dxa" w:w="1361"/>
          </w:tcPr>
          <w:p>
            <w:r/>
            <w:r>
              <w:rPr>
                <w:sz w:val="17"/>
              </w:rPr>
              <w:t>statistics</w:t>
            </w:r>
          </w:p>
        </w:tc>
        <w:tc>
          <w:tcPr>
            <w:tcW w:type="dxa" w:w="3175"/>
          </w:tcPr>
          <w:p>
            <w:r/>
            <w:r>
              <w:rPr>
                <w:sz w:val="17"/>
              </w:rPr>
              <w:t>3.1 Grain yield</w:t>
            </w:r>
          </w:p>
        </w:tc>
        <w:tc>
          <w:tcPr>
            <w:tcW w:type="dxa" w:w="6973"/>
          </w:tcPr>
          <w:p>
            <w:r/>
            <w:r>
              <w:rPr>
                <w:sz w:val="17"/>
              </w:rPr>
              <w:t>F(3,20) = 2.91 corresponds to P of about 0.060 (recomputed; 0.059-0.060 allowing for rounding of F), not 0.012. The reported statistic, df and P cannot all be correct.</w:t>
            </w:r>
          </w:p>
        </w:tc>
      </w:tr>
      <w:tr>
        <w:trPr>
          <w:cantSplit w:val="true"/>
        </w:trPr>
        <w:tc>
          <w:tcPr>
            <w:tcW w:type="dxa" w:w="794"/>
          </w:tcPr>
          <w:p>
            <w:r/>
            <w:r>
              <w:rPr>
                <w:sz w:val="17"/>
              </w:rPr>
              <w:t>C-004</w:t>
            </w:r>
          </w:p>
        </w:tc>
        <w:tc>
          <w:tcPr>
            <w:tcW w:type="dxa" w:w="1020"/>
            <w:shd w:val="clear" w:color="auto" w:fill="FAD7A0"/>
          </w:tcPr>
          <w:p>
            <w:r/>
            <w:r>
              <w:rPr>
                <w:b/>
                <w:sz w:val="17"/>
              </w:rPr>
              <w:t>Major</w:t>
            </w:r>
          </w:p>
        </w:tc>
        <w:tc>
          <w:tcPr>
            <w:tcW w:type="dxa" w:w="1134"/>
          </w:tcPr>
          <w:p>
            <w:r/>
            <w:r>
              <w:rPr>
                <w:sz w:val="17"/>
              </w:rPr>
              <w:t>confirmed</w:t>
            </w:r>
          </w:p>
        </w:tc>
        <w:tc>
          <w:tcPr>
            <w:tcW w:type="dxa" w:w="1361"/>
          </w:tcPr>
          <w:p>
            <w:r/>
            <w:r>
              <w:rPr>
                <w:sz w:val="17"/>
              </w:rPr>
              <w:t>consistency</w:t>
            </w:r>
          </w:p>
        </w:tc>
        <w:tc>
          <w:tcPr>
            <w:tcW w:type="dxa" w:w="3175"/>
          </w:tcPr>
          <w:p>
            <w:r/>
            <w:r>
              <w:rPr>
                <w:sz w:val="17"/>
              </w:rPr>
              <w:t>Abstract</w:t>
            </w:r>
          </w:p>
        </w:tc>
        <w:tc>
          <w:tcPr>
            <w:tcW w:type="dxa" w:w="6973"/>
          </w:tcPr>
          <w:p>
            <w:r/>
            <w:r>
              <w:rPr>
                <w:sz w:val="17"/>
              </w:rPr>
              <w:t>The abstract reports a 23% yield increase. Table 1 means (4.82 and 5.71 t ha-1) give 18.5% ((5.71-4.82)/4.82), which is also what Section 3.1 states.</w:t>
            </w:r>
          </w:p>
        </w:tc>
      </w:tr>
      <w:tr>
        <w:trPr>
          <w:cantSplit w:val="true"/>
        </w:trPr>
        <w:tc>
          <w:tcPr>
            <w:tcW w:type="dxa" w:w="794"/>
          </w:tcPr>
          <w:p>
            <w:r/>
            <w:r>
              <w:rPr>
                <w:sz w:val="17"/>
              </w:rPr>
              <w:t>C-005</w:t>
            </w:r>
          </w:p>
        </w:tc>
        <w:tc>
          <w:tcPr>
            <w:tcW w:type="dxa" w:w="1020"/>
            <w:shd w:val="clear" w:color="auto" w:fill="FAD7A0"/>
          </w:tcPr>
          <w:p>
            <w:r/>
            <w:r>
              <w:rPr>
                <w:b/>
                <w:sz w:val="17"/>
              </w:rPr>
              <w:t>Major</w:t>
            </w:r>
          </w:p>
        </w:tc>
        <w:tc>
          <w:tcPr>
            <w:tcW w:type="dxa" w:w="1134"/>
          </w:tcPr>
          <w:p>
            <w:r/>
            <w:r>
              <w:rPr>
                <w:sz w:val="17"/>
              </w:rPr>
              <w:t>confirmed</w:t>
            </w:r>
          </w:p>
        </w:tc>
        <w:tc>
          <w:tcPr>
            <w:tcW w:type="dxa" w:w="1361"/>
          </w:tcPr>
          <w:p>
            <w:r/>
            <w:r>
              <w:rPr>
                <w:sz w:val="17"/>
              </w:rPr>
              <w:t>interpretation</w:t>
            </w:r>
          </w:p>
        </w:tc>
        <w:tc>
          <w:tcPr>
            <w:tcW w:type="dxa" w:w="3175"/>
          </w:tcPr>
          <w:p>
            <w:r/>
            <w:r>
              <w:rPr>
                <w:sz w:val="17"/>
              </w:rPr>
              <w:t>4. Discussion</w:t>
            </w:r>
          </w:p>
        </w:tc>
        <w:tc>
          <w:tcPr>
            <w:tcW w:type="dxa" w:w="6973"/>
          </w:tcPr>
          <w:p>
            <w:r/>
            <w:r>
              <w:rPr>
                <w:sz w:val="17"/>
              </w:rPr>
              <w:t>Soil water-holding capacity, soil moisture and plant water status were not measured or reported, so the mechanism is a hypothesis, not a result. The statement is also written as established ("explained by").</w:t>
            </w:r>
          </w:p>
        </w:tc>
      </w:tr>
      <w:tr>
        <w:trPr>
          <w:cantSplit w:val="true"/>
        </w:trPr>
        <w:tc>
          <w:tcPr>
            <w:tcW w:type="dxa" w:w="794"/>
          </w:tcPr>
          <w:p>
            <w:r/>
            <w:r>
              <w:rPr>
                <w:sz w:val="17"/>
              </w:rPr>
              <w:t>C-006</w:t>
            </w:r>
          </w:p>
        </w:tc>
        <w:tc>
          <w:tcPr>
            <w:tcW w:type="dxa" w:w="1020"/>
            <w:shd w:val="clear" w:color="auto" w:fill="FAD7A0"/>
          </w:tcPr>
          <w:p>
            <w:r/>
            <w:r>
              <w:rPr>
                <w:b/>
                <w:sz w:val="17"/>
              </w:rPr>
              <w:t>Major</w:t>
            </w:r>
          </w:p>
        </w:tc>
        <w:tc>
          <w:tcPr>
            <w:tcW w:type="dxa" w:w="1134"/>
          </w:tcPr>
          <w:p>
            <w:r/>
            <w:r>
              <w:rPr>
                <w:sz w:val="17"/>
              </w:rPr>
              <w:t>confirmed</w:t>
            </w:r>
          </w:p>
        </w:tc>
        <w:tc>
          <w:tcPr>
            <w:tcW w:type="dxa" w:w="1361"/>
          </w:tcPr>
          <w:p>
            <w:r/>
            <w:r>
              <w:rPr>
                <w:sz w:val="17"/>
              </w:rPr>
              <w:t>interpretation</w:t>
            </w:r>
          </w:p>
        </w:tc>
        <w:tc>
          <w:tcPr>
            <w:tcW w:type="dxa" w:w="3175"/>
          </w:tcPr>
          <w:p>
            <w:r/>
            <w:r>
              <w:rPr>
                <w:sz w:val="17"/>
              </w:rPr>
              <w:t>4. Discussion</w:t>
            </w:r>
          </w:p>
        </w:tc>
        <w:tc>
          <w:tcPr>
            <w:tcW w:type="dxa" w:w="6973"/>
          </w:tcPr>
          <w:p>
            <w:r/>
            <w:r>
              <w:rPr>
                <w:sz w:val="17"/>
              </w:rPr>
              <w:t>A farm-level recommendation is drawn from one greenhouse experiment with one cultivar, one isolate and no field validation. The previous sentence of the same paragraph says the results "may not transfer to field conditions". The abstract and Conclusions repeat...</w:t>
            </w:r>
          </w:p>
        </w:tc>
      </w:tr>
      <w:tr>
        <w:trPr>
          <w:cantSplit w:val="true"/>
        </w:trPr>
        <w:tc>
          <w:tcPr>
            <w:tcW w:type="dxa" w:w="794"/>
          </w:tcPr>
          <w:p>
            <w:r/>
            <w:r>
              <w:rPr>
                <w:sz w:val="17"/>
              </w:rPr>
              <w:t>C-007</w:t>
            </w:r>
          </w:p>
        </w:tc>
        <w:tc>
          <w:tcPr>
            <w:tcW w:type="dxa" w:w="1020"/>
            <w:shd w:val="clear" w:color="auto" w:fill="FAD7A0"/>
          </w:tcPr>
          <w:p>
            <w:r/>
            <w:r>
              <w:rPr>
                <w:b/>
                <w:sz w:val="17"/>
              </w:rPr>
              <w:t>Major</w:t>
            </w:r>
          </w:p>
        </w:tc>
        <w:tc>
          <w:tcPr>
            <w:tcW w:type="dxa" w:w="1134"/>
          </w:tcPr>
          <w:p>
            <w:r/>
            <w:r>
              <w:rPr>
                <w:sz w:val="17"/>
              </w:rPr>
              <w:t>confirmed</w:t>
            </w:r>
          </w:p>
        </w:tc>
        <w:tc>
          <w:tcPr>
            <w:tcW w:type="dxa" w:w="1361"/>
          </w:tcPr>
          <w:p>
            <w:r/>
            <w:r>
              <w:rPr>
                <w:sz w:val="17"/>
              </w:rPr>
              <w:t>reproducibility</w:t>
            </w:r>
          </w:p>
        </w:tc>
        <w:tc>
          <w:tcPr>
            <w:tcW w:type="dxa" w:w="3175"/>
          </w:tcPr>
          <w:p>
            <w:r/>
            <w:r>
              <w:rPr>
                <w:sz w:val="17"/>
              </w:rPr>
              <w:t>2.3 Inoculation and disease assessment</w:t>
            </w:r>
          </w:p>
        </w:tc>
        <w:tc>
          <w:tcPr>
            <w:tcW w:type="dxa" w:w="6973"/>
          </w:tcPr>
          <w:p>
            <w:r/>
            <w:r>
              <w:rPr>
                <w:sz w:val="17"/>
              </w:rPr>
              <w:t>In the files supplied, the inoculation and scoring methods are insufficient to reproduce or interpret the disease data: isolate identity/source, inoculum type and concentration, inoculation method, mock-inoculated controls, the definition of the 0-5 scale, and...</w:t>
            </w:r>
          </w:p>
        </w:tc>
      </w:tr>
      <w:tr>
        <w:trPr>
          <w:cantSplit w:val="true"/>
        </w:trPr>
        <w:tc>
          <w:tcPr>
            <w:tcW w:type="dxa" w:w="794"/>
          </w:tcPr>
          <w:p>
            <w:r/>
            <w:r>
              <w:rPr>
                <w:sz w:val="17"/>
              </w:rPr>
              <w:t>C-008</w:t>
            </w:r>
          </w:p>
        </w:tc>
        <w:tc>
          <w:tcPr>
            <w:tcW w:type="dxa" w:w="1020"/>
            <w:shd w:val="clear" w:color="auto" w:fill="FCF3CF"/>
          </w:tcPr>
          <w:p>
            <w:r/>
            <w:r>
              <w:rPr>
                <w:b/>
                <w:sz w:val="17"/>
              </w:rPr>
              <w:t>Minor</w:t>
            </w:r>
          </w:p>
        </w:tc>
        <w:tc>
          <w:tcPr>
            <w:tcW w:type="dxa" w:w="1134"/>
          </w:tcPr>
          <w:p>
            <w:r/>
            <w:r>
              <w:rPr>
                <w:sz w:val="17"/>
              </w:rPr>
              <w:t>probable</w:t>
            </w:r>
          </w:p>
        </w:tc>
        <w:tc>
          <w:tcPr>
            <w:tcW w:type="dxa" w:w="1361"/>
          </w:tcPr>
          <w:p>
            <w:r/>
            <w:r>
              <w:rPr>
                <w:sz w:val="17"/>
              </w:rPr>
              <w:t>statistics</w:t>
            </w:r>
          </w:p>
        </w:tc>
        <w:tc>
          <w:tcPr>
            <w:tcW w:type="dxa" w:w="3175"/>
          </w:tcPr>
          <w:p>
            <w:r/>
            <w:r>
              <w:rPr>
                <w:sz w:val="17"/>
              </w:rPr>
              <w:t>2.4 Statistical analysis</w:t>
            </w:r>
          </w:p>
        </w:tc>
        <w:tc>
          <w:tcPr>
            <w:tcW w:type="dxa" w:w="6973"/>
          </w:tcPr>
          <w:p>
            <w:r/>
            <w:r>
              <w:rPr>
                <w:sz w:val="17"/>
              </w:rPr>
              <w:t>Unadjusted LSD across the six pairwise comparisons inflates the family-wise error rate; its protection also presumes a significant omnibus F, which does not hold if P is about 0.06 (C-003).</w:t>
            </w:r>
          </w:p>
        </w:tc>
      </w:tr>
      <w:tr>
        <w:trPr>
          <w:cantSplit w:val="true"/>
        </w:trPr>
        <w:tc>
          <w:tcPr>
            <w:tcW w:type="dxa" w:w="794"/>
          </w:tcPr>
          <w:p>
            <w:r/>
            <w:r>
              <w:rPr>
                <w:sz w:val="17"/>
              </w:rPr>
              <w:t>C-009</w:t>
            </w:r>
          </w:p>
        </w:tc>
        <w:tc>
          <w:tcPr>
            <w:tcW w:type="dxa" w:w="1020"/>
            <w:shd w:val="clear" w:color="auto" w:fill="FCF3CF"/>
          </w:tcPr>
          <w:p>
            <w:r/>
            <w:r>
              <w:rPr>
                <w:b/>
                <w:sz w:val="17"/>
              </w:rPr>
              <w:t>Minor</w:t>
            </w:r>
          </w:p>
        </w:tc>
        <w:tc>
          <w:tcPr>
            <w:tcW w:type="dxa" w:w="1134"/>
          </w:tcPr>
          <w:p>
            <w:r/>
            <w:r>
              <w:rPr>
                <w:sz w:val="17"/>
              </w:rPr>
              <w:t>confirmed</w:t>
            </w:r>
          </w:p>
        </w:tc>
        <w:tc>
          <w:tcPr>
            <w:tcW w:type="dxa" w:w="1361"/>
          </w:tcPr>
          <w:p>
            <w:r/>
            <w:r>
              <w:rPr>
                <w:sz w:val="17"/>
              </w:rPr>
              <w:t>figures-tables</w:t>
            </w:r>
          </w:p>
        </w:tc>
        <w:tc>
          <w:tcPr>
            <w:tcW w:type="dxa" w:w="3175"/>
          </w:tcPr>
          <w:p>
            <w:r/>
            <w:r>
              <w:rPr>
                <w:sz w:val="17"/>
              </w:rPr>
              <w:t>Table 1</w:t>
            </w:r>
          </w:p>
        </w:tc>
        <w:tc>
          <w:tcPr>
            <w:tcW w:type="dxa" w:w="6973"/>
          </w:tcPr>
          <w:p>
            <w:r/>
            <w:r>
              <w:rPr>
                <w:sz w:val="17"/>
              </w:rPr>
              <w:t>The dispersion measure after "±" is not defined (SD, SE or CI), and the table legend does not state it.</w:t>
            </w:r>
          </w:p>
        </w:tc>
      </w:tr>
      <w:tr>
        <w:trPr>
          <w:cantSplit w:val="true"/>
        </w:trPr>
        <w:tc>
          <w:tcPr>
            <w:tcW w:type="dxa" w:w="794"/>
          </w:tcPr>
          <w:p>
            <w:r/>
            <w:r>
              <w:rPr>
                <w:sz w:val="17"/>
              </w:rPr>
              <w:t>C-010</w:t>
            </w:r>
          </w:p>
        </w:tc>
        <w:tc>
          <w:tcPr>
            <w:tcW w:type="dxa" w:w="1020"/>
            <w:shd w:val="clear" w:color="auto" w:fill="FCF3CF"/>
          </w:tcPr>
          <w:p>
            <w:r/>
            <w:r>
              <w:rPr>
                <w:b/>
                <w:sz w:val="17"/>
              </w:rPr>
              <w:t>Minor</w:t>
            </w:r>
          </w:p>
        </w:tc>
        <w:tc>
          <w:tcPr>
            <w:tcW w:type="dxa" w:w="1134"/>
          </w:tcPr>
          <w:p>
            <w:r/>
            <w:r>
              <w:rPr>
                <w:sz w:val="17"/>
              </w:rPr>
              <w:t>confirmed</w:t>
            </w:r>
          </w:p>
        </w:tc>
        <w:tc>
          <w:tcPr>
            <w:tcW w:type="dxa" w:w="1361"/>
          </w:tcPr>
          <w:p>
            <w:r/>
            <w:r>
              <w:rPr>
                <w:sz w:val="17"/>
              </w:rPr>
              <w:t>consistency</w:t>
            </w:r>
          </w:p>
        </w:tc>
        <w:tc>
          <w:tcPr>
            <w:tcW w:type="dxa" w:w="3175"/>
          </w:tcPr>
          <w:p>
            <w:r/>
            <w:r>
              <w:rPr>
                <w:sz w:val="17"/>
              </w:rPr>
              <w:t>3.2 Crown rot severity</w:t>
            </w:r>
          </w:p>
        </w:tc>
        <w:tc>
          <w:tcPr>
            <w:tcW w:type="dxa" w:w="6973"/>
          </w:tcPr>
          <w:p>
            <w:r/>
            <w:r>
              <w:rPr>
                <w:sz w:val="17"/>
              </w:rPr>
              <w:t>The reported means (3.9, 3.4, 2.6, 2.8) are not monotonic: severity is slightly higher at 20 than at 10 t ha-1.</w:t>
            </w:r>
          </w:p>
        </w:tc>
      </w:tr>
      <w:tr>
        <w:trPr>
          <w:cantSplit w:val="true"/>
        </w:trPr>
        <w:tc>
          <w:tcPr>
            <w:tcW w:type="dxa" w:w="794"/>
          </w:tcPr>
          <w:p>
            <w:r/>
            <w:r>
              <w:rPr>
                <w:sz w:val="17"/>
              </w:rPr>
              <w:t>C-011</w:t>
            </w:r>
          </w:p>
        </w:tc>
        <w:tc>
          <w:tcPr>
            <w:tcW w:type="dxa" w:w="1020"/>
            <w:shd w:val="clear" w:color="auto" w:fill="FCF3CF"/>
          </w:tcPr>
          <w:p>
            <w:r/>
            <w:r>
              <w:rPr>
                <w:b/>
                <w:sz w:val="17"/>
              </w:rPr>
              <w:t>Minor</w:t>
            </w:r>
          </w:p>
        </w:tc>
        <w:tc>
          <w:tcPr>
            <w:tcW w:type="dxa" w:w="1134"/>
          </w:tcPr>
          <w:p>
            <w:r/>
            <w:r>
              <w:rPr>
                <w:sz w:val="17"/>
              </w:rPr>
              <w:t>question</w:t>
            </w:r>
          </w:p>
        </w:tc>
        <w:tc>
          <w:tcPr>
            <w:tcW w:type="dxa" w:w="1361"/>
          </w:tcPr>
          <w:p>
            <w:r/>
            <w:r>
              <w:rPr>
                <w:sz w:val="17"/>
              </w:rPr>
              <w:t>reproducibility</w:t>
            </w:r>
          </w:p>
        </w:tc>
        <w:tc>
          <w:tcPr>
            <w:tcW w:type="dxa" w:w="3175"/>
          </w:tcPr>
          <w:p>
            <w:r/>
            <w:r>
              <w:rPr>
                <w:sz w:val="17"/>
              </w:rPr>
              <w:t>2.4 Statistical analysis</w:t>
            </w:r>
          </w:p>
        </w:tc>
        <w:tc>
          <w:tcPr>
            <w:tcW w:type="dxa" w:w="6973"/>
          </w:tcPr>
          <w:p>
            <w:r/>
            <w:r>
              <w:rPr>
                <w:sz w:val="17"/>
              </w:rPr>
              <w:t>No software version, packages or model code are given, and no data availability statement is included (none seen in the files supplied).</w:t>
            </w:r>
          </w:p>
        </w:tc>
      </w:tr>
      <w:tr>
        <w:trPr>
          <w:cantSplit w:val="true"/>
        </w:trPr>
        <w:tc>
          <w:tcPr>
            <w:tcW w:type="dxa" w:w="794"/>
          </w:tcPr>
          <w:p>
            <w:r/>
            <w:r>
              <w:rPr>
                <w:sz w:val="17"/>
              </w:rPr>
              <w:t>C-012</w:t>
            </w:r>
          </w:p>
        </w:tc>
        <w:tc>
          <w:tcPr>
            <w:tcW w:type="dxa" w:w="1020"/>
            <w:shd w:val="clear" w:color="auto" w:fill="FCF3CF"/>
          </w:tcPr>
          <w:p>
            <w:r/>
            <w:r>
              <w:rPr>
                <w:b/>
                <w:sz w:val="17"/>
              </w:rPr>
              <w:t>Minor</w:t>
            </w:r>
          </w:p>
        </w:tc>
        <w:tc>
          <w:tcPr>
            <w:tcW w:type="dxa" w:w="1134"/>
          </w:tcPr>
          <w:p>
            <w:r/>
            <w:r>
              <w:rPr>
                <w:sz w:val="17"/>
              </w:rPr>
              <w:t>question</w:t>
            </w:r>
          </w:p>
        </w:tc>
        <w:tc>
          <w:tcPr>
            <w:tcW w:type="dxa" w:w="1361"/>
          </w:tcPr>
          <w:p>
            <w:r/>
            <w:r>
              <w:rPr>
                <w:sz w:val="17"/>
              </w:rPr>
              <w:t>reporting</w:t>
            </w:r>
          </w:p>
        </w:tc>
        <w:tc>
          <w:tcPr>
            <w:tcW w:type="dxa" w:w="3175"/>
          </w:tcPr>
          <w:p>
            <w:r/>
            <w:r>
              <w:rPr>
                <w:sz w:val="17"/>
              </w:rPr>
              <w:t>2.3 Inoculation and disease assessment</w:t>
            </w:r>
          </w:p>
        </w:tc>
        <w:tc>
          <w:tcPr>
            <w:tcW w:type="dxa" w:w="6973"/>
          </w:tcPr>
          <w:p>
            <w:r/>
            <w:r>
              <w:rPr>
                <w:sz w:val="17"/>
              </w:rPr>
              <w:t>The conversion from yield per 5 L pot (and from biochar t ha-1 equivalent in Section 2.2) to per-hectare values is not described.</w:t>
            </w:r>
          </w:p>
        </w:tc>
      </w:tr>
      <w:tr>
        <w:trPr>
          <w:cantSplit w:val="true"/>
        </w:trPr>
        <w:tc>
          <w:tcPr>
            <w:tcW w:type="dxa" w:w="794"/>
          </w:tcPr>
          <w:p>
            <w:r/>
            <w:r>
              <w:rPr>
                <w:sz w:val="17"/>
              </w:rPr>
              <w:t>C-013</w:t>
            </w:r>
          </w:p>
        </w:tc>
        <w:tc>
          <w:tcPr>
            <w:tcW w:type="dxa" w:w="1020"/>
            <w:shd w:val="clear" w:color="auto" w:fill="D6EAF8"/>
          </w:tcPr>
          <w:p>
            <w:r/>
            <w:r>
              <w:rPr>
                <w:b/>
                <w:sz w:val="17"/>
              </w:rPr>
              <w:t>Optional</w:t>
            </w:r>
          </w:p>
        </w:tc>
        <w:tc>
          <w:tcPr>
            <w:tcW w:type="dxa" w:w="1134"/>
          </w:tcPr>
          <w:p>
            <w:r/>
            <w:r>
              <w:rPr>
                <w:sz w:val="17"/>
              </w:rPr>
              <w:t>suggestion</w:t>
            </w:r>
          </w:p>
        </w:tc>
        <w:tc>
          <w:tcPr>
            <w:tcW w:type="dxa" w:w="1361"/>
          </w:tcPr>
          <w:p>
            <w:r/>
            <w:r>
              <w:rPr>
                <w:sz w:val="17"/>
              </w:rPr>
              <w:t>statistics</w:t>
            </w:r>
          </w:p>
        </w:tc>
        <w:tc>
          <w:tcPr>
            <w:tcW w:type="dxa" w:w="3175"/>
          </w:tcPr>
          <w:p>
            <w:r/>
            <w:r>
              <w:rPr>
                <w:sz w:val="17"/>
              </w:rPr>
              <w:t>3.1 Grain yield</w:t>
            </w:r>
          </w:p>
        </w:tc>
        <w:tc>
          <w:tcPr>
            <w:tcW w:type="dxa" w:w="6973"/>
          </w:tcPr>
          <w:p>
            <w:r/>
            <w:r>
              <w:rPr>
                <w:sz w:val="17"/>
              </w:rPr>
              <w:t>With four ordered rates, a dose-response analysis (regression on rate, possibly with a plateau) would use the information better than pairwise comparison, and effect estimates with 95% confidence intervals would show the uncertainty.</w:t>
            </w:r>
          </w:p>
        </w:tc>
      </w:tr>
    </w:tbl>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AI-assisted draft review - confidential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