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t>CONFLUX Product Build Handover</w:t>
      </w:r>
    </w:p>
    <w:p>
      <w:pPr>
        <w:spacing w:after="500"/>
      </w:pPr>
      <w:r>
        <w:rPr>
          <w:rFonts w:ascii="Aptos" w:hAnsi="Aptos"/>
          <w:color w:val="3157D5"/>
          <w:sz w:val="26"/>
        </w:rPr>
        <w:t>Product scope implementation status and deployment guide</w:t>
      </w:r>
    </w:p>
    <w:p>
      <w:pPr>
        <w:pStyle w:val="Heading1"/>
        <w:spacing w:before="280" w:after="140"/>
      </w:pPr>
      <w:r>
        <w:rPr>
          <w:color w:val="111318"/>
        </w:rPr>
        <w:t>Purpose</w:t>
      </w:r>
    </w:p>
    <w:p>
      <w:pPr>
        <w:spacing w:after="160" w:line="283" w:lineRule="auto"/>
      </w:pPr>
      <w:r>
        <w:t>This document records what has been designed and implemented in the CONFLUX application so far. It is intended for the product owner and future contributors who need a clear account of the product concept, available routes, working application flows, database foundations, deployment requirements, and work that still needs provider configuration.</w:t>
      </w:r>
    </w:p>
    <w:p>
      <w:pPr>
        <w:spacing w:after="160" w:line="283" w:lineRule="auto"/>
      </w:pPr>
      <w:r>
        <w:t>The current build keeps the public home page as the first experience. A visitor can read the product story without being forced into the application. Any action that expresses interest routes the visitor into registration or sign in, where the account and identity flow begins.</w:t>
      </w:r>
    </w:p>
    <w:p>
      <w:pPr>
        <w:pStyle w:val="Heading1"/>
        <w:spacing w:before="280" w:after="140"/>
      </w:pPr>
      <w:r>
        <w:rPr>
          <w:color w:val="111318"/>
        </w:rPr>
        <w:t>Product Concept</w:t>
      </w:r>
    </w:p>
    <w:p>
      <w:pPr>
        <w:spacing w:after="160" w:line="283" w:lineRule="auto"/>
      </w:pPr>
      <w:r>
        <w:t>CONFLUX is a builder network for meeting people behind active ideas and projects. It is designed around concise, high-context introductions rather than a social feed. The core path is profile context, a text-first Meet, a private mutual connection, continued conversation, and a Build Room when a relationship turns into work.</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Principle</w:t>
            </w:r>
          </w:p>
        </w:tc>
        <w:tc>
          <w:tcPr>
            <w:tcW w:type="dxa" w:w="7416"/>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How it appears in the build</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Intent before browsing</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Discovery uses skills, interests, current work, and connection goals instead of an infinite feed.</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Mutual connection</w:t>
            </w:r>
          </w:p>
        </w:tc>
        <w:tc>
          <w:tcPr>
            <w:tcW w:type="dxa" w:w="741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Direct messages and contact context unlock only after both participants choose Connect.</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Text first</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 Meet always includes private real-time text. Audio, video, and screen sharing are not represented as fake working controls.</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Real identity</w:t>
            </w:r>
          </w:p>
        </w:tc>
        <w:tc>
          <w:tcPr>
            <w:tcW w:type="dxa" w:w="741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Email confirmation, LinkedIn, and GitHub are part of the required registration and profile flow.</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Useful work</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Build Rooms provide projects and tasks after a connection develops into collaboration.</w:t>
            </w:r>
          </w:p>
        </w:tc>
      </w:tr>
    </w:tbl>
    <w:p>
      <w:pPr>
        <w:spacing w:after="40"/>
      </w:pPr>
    </w:p>
    <w:p>
      <w:pPr>
        <w:pStyle w:val="Heading1"/>
        <w:spacing w:before="280" w:after="140"/>
      </w:pPr>
      <w:r>
        <w:rPr>
          <w:color w:val="111318"/>
        </w:rPr>
        <w:t>Public Entry Experience</w:t>
      </w:r>
    </w:p>
    <w:p>
      <w:pPr>
        <w:spacing w:after="160" w:line="283" w:lineRule="auto"/>
      </w:pPr>
      <w:r>
        <w:t>The root URL is the marketing page at conflux.site. It retains the visual landing-page treatment: the hero statement, product explanation, trust story, feature overview, collaboration path, and final call to action. The page uses the established ink, bone, cobalt, lime, and coral visual system with restrained animation in the Meet preview.</w:t>
      </w:r>
    </w:p>
    <w:p>
      <w:pPr>
        <w:pStyle w:val="ListBullet"/>
        <w:spacing w:after="60"/>
      </w:pPr>
      <w:r>
        <w:t>Every primary landing-page action routes to /register.</w:t>
      </w:r>
    </w:p>
    <w:p>
      <w:pPr>
        <w:pStyle w:val="ListBullet"/>
        <w:spacing w:after="60"/>
      </w:pPr>
      <w:r>
        <w:t>The Sign in action routes to /auth.</w:t>
      </w:r>
    </w:p>
    <w:p>
      <w:pPr>
        <w:pStyle w:val="ListBullet"/>
        <w:spacing w:after="60"/>
      </w:pPr>
      <w:r>
        <w:t>The main page does not show seeded user records as application data. The illustrated Meet preview is clearly a marketing demonstration.</w:t>
      </w:r>
    </w:p>
    <w:p>
      <w:pPr>
        <w:pStyle w:val="ListBullet"/>
        <w:spacing w:after="60"/>
      </w:pPr>
      <w:r>
        <w:t>The page remains available before a visitor has an account, which keeps the product value clear before registration.</w:t>
      </w:r>
    </w:p>
    <w:p>
      <w:pPr>
        <w:pStyle w:val="Heading1"/>
        <w:spacing w:before="280" w:after="140"/>
      </w:pPr>
      <w:r>
        <w:rPr>
          <w:color w:val="111318"/>
        </w:rPr>
        <w:t>Routes and Pages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Route</w:t>
            </w:r>
          </w:p>
        </w:tc>
        <w:tc>
          <w:tcPr>
            <w:tcW w:type="dxa" w:w="3024"/>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Purpose</w:t>
            </w:r>
          </w:p>
        </w:tc>
        <w:tc>
          <w:tcPr>
            <w:tcW w:type="dxa" w:w="4968"/>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Current behavior</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Public landing page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Shows the product narrative and routes interest to registration or sign in.</w:t>
            </w:r>
          </w:p>
        </w:tc>
      </w:tr>
      <w:tr>
        <w:trPr>
          <w:cantSplit/>
        </w:trPr>
        <w:tc>
          <w:tcPr>
            <w:tcW w:type="dxa" w:w="180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/auth</w:t>
            </w:r>
          </w:p>
        </w:tc>
        <w:tc>
          <w:tcPr>
            <w:tcW w:type="dxa" w:w="3024"/>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Sign in</w:t>
            </w:r>
          </w:p>
        </w:tc>
        <w:tc>
          <w:tcPr>
            <w:tcW w:type="dxa" w:w="4968"/>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Authenticates an existing user with email and a masked password.</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/register</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Account creation and email verification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Creates an account, sends a signup OTP, and verifies the six-digit code.</w:t>
            </w:r>
          </w:p>
        </w:tc>
      </w:tr>
      <w:tr>
        <w:trPr>
          <w:cantSplit/>
        </w:trPr>
        <w:tc>
          <w:tcPr>
            <w:tcW w:type="dxa" w:w="180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/onboarding</w:t>
            </w:r>
          </w:p>
        </w:tc>
        <w:tc>
          <w:tcPr>
            <w:tcW w:type="dxa" w:w="3024"/>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Required identity profile</w:t>
            </w:r>
          </w:p>
        </w:tc>
        <w:tc>
          <w:tcPr>
            <w:tcW w:type="dxa" w:w="4968"/>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Collects the mandatory matching and proof fields after OTP verification.</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/meet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Live introduction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Discovers a candidate, opens a Meet, sends real-time text, and records private Connect or Next decisions.</w:t>
            </w:r>
          </w:p>
        </w:tc>
      </w:tr>
      <w:tr>
        <w:trPr>
          <w:cantSplit/>
        </w:trPr>
        <w:tc>
          <w:tcPr>
            <w:tcW w:type="dxa" w:w="180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/connections</w:t>
            </w:r>
          </w:p>
        </w:tc>
        <w:tc>
          <w:tcPr>
            <w:tcW w:type="dxa" w:w="3024"/>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Mutual connections</w:t>
            </w:r>
          </w:p>
        </w:tc>
        <w:tc>
          <w:tcPr>
            <w:tcW w:type="dxa" w:w="4968"/>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Shows connections created by mutual choice and their private real-time message threads.</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/build-rooms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Projects and tasks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Creates personal Build Rooms and manages tasks for rooms the user can access.</w:t>
            </w:r>
          </w:p>
        </w:tc>
      </w:tr>
      <w:tr>
        <w:trPr>
          <w:cantSplit/>
        </w:trPr>
        <w:tc>
          <w:tcPr>
            <w:tcW w:type="dxa" w:w="180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/profile</w:t>
            </w:r>
          </w:p>
        </w:tc>
        <w:tc>
          <w:tcPr>
            <w:tcW w:type="dxa" w:w="3024"/>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Profile controls</w:t>
            </w:r>
          </w:p>
        </w:tc>
        <w:tc>
          <w:tcPr>
            <w:tcW w:type="dxa" w:w="4968"/>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Lets a member update their identity signals and pause availability for discovery.</w:t>
            </w:r>
          </w:p>
        </w:tc>
      </w:tr>
    </w:tbl>
    <w:p>
      <w:pPr>
        <w:spacing w:after="40"/>
      </w:pPr>
    </w:p>
    <w:p>
      <w:pPr>
        <w:pStyle w:val="Heading1"/>
        <w:spacing w:before="280" w:after="140"/>
      </w:pPr>
      <w:r>
        <w:rPr>
          <w:color w:val="111318"/>
        </w:rPr>
        <w:t>Registration and Identity Flow</w:t>
      </w:r>
    </w:p>
    <w:p>
      <w:pPr>
        <w:spacing w:after="160" w:line="283" w:lineRule="auto"/>
      </w:pPr>
      <w:r>
        <w:t>Registration is deliberately separate from profile completion. This keeps email identity verification at the beginning of the flow and stops unverified users from entering the network. The account creation page takes email, a password, and an optional mobile number. The password input is masked by default. The information icon at the right of the password field toggles visibility and includes an accessible show or hide label.</w:t>
      </w:r>
    </w:p>
    <w:p>
      <w:pPr>
        <w:spacing w:after="160" w:line="283" w:lineRule="auto"/>
      </w:pPr>
      <w:r>
        <w:t>After account creation, the user enters the one-time code sent to their email. A verified session then routes to the profile onboarding page. The onboarding form does not permit completion until every required selection and required URL is present.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Field</w:t>
            </w:r>
          </w:p>
        </w:tc>
        <w:tc>
          <w:tcPr>
            <w:tcW w:type="dxa" w:w="3096"/>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Requirement</w:t>
            </w:r>
          </w:p>
        </w:tc>
        <w:tc>
          <w:tcPr>
            <w:tcW w:type="dxa" w:w="4320"/>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Reason</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Email</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Required and OTP verified</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Establishes a verified account before network access.</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Password</w:t>
            </w:r>
          </w:p>
        </w:tc>
        <w:tc>
          <w:tcPr>
            <w:tcW w:type="dxa" w:w="309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Required and masked</w:t>
            </w:r>
          </w:p>
        </w:tc>
        <w:tc>
          <w:tcPr>
            <w:tcW w:type="dxa" w:w="432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Supports standard account sign in.</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Mobile number</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Optional</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Can be retained for account use but is not public.</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Interests</w:t>
            </w:r>
          </w:p>
        </w:tc>
        <w:tc>
          <w:tcPr>
            <w:tcW w:type="dxa" w:w="309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At least one selectable value</w:t>
            </w:r>
          </w:p>
        </w:tc>
        <w:tc>
          <w:tcPr>
            <w:tcW w:type="dxa" w:w="432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Provides matching context.</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Skills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At least one selectable value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Provides practical capability signals.</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What the user wants to build</w:t>
            </w:r>
          </w:p>
        </w:tc>
        <w:tc>
          <w:tcPr>
            <w:tcW w:type="dxa" w:w="309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Required text</w:t>
            </w:r>
          </w:p>
        </w:tc>
        <w:tc>
          <w:tcPr>
            <w:tcW w:type="dxa" w:w="432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Creates a concrete conversation starting point.</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Who the user wants to connect with</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At least one selectable value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Captures connection intent.</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Date of birth</w:t>
            </w:r>
          </w:p>
        </w:tc>
        <w:tc>
          <w:tcPr>
            <w:tcW w:type="dxa" w:w="309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Required with a minimum age check</w:t>
            </w:r>
          </w:p>
        </w:tc>
        <w:tc>
          <w:tcPr>
            <w:tcW w:type="dxa" w:w="432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Supports the network age requirement.</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Gender</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Required selection with inclusive options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Collects the requested profile attribute.</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LinkedIn URL</w:t>
            </w:r>
          </w:p>
        </w:tc>
        <w:tc>
          <w:tcPr>
            <w:tcW w:type="dxa" w:w="309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Required valid LinkedIn URL</w:t>
            </w:r>
          </w:p>
        </w:tc>
        <w:tc>
          <w:tcPr>
            <w:tcW w:type="dxa" w:w="432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Provides professional identity context.</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GitHub URL</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Required valid GitHub URL</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Provides technical proof of work.</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Portfolio URL</w:t>
            </w:r>
          </w:p>
        </w:tc>
        <w:tc>
          <w:tcPr>
            <w:tcW w:type="dxa" w:w="309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Optional</w:t>
            </w:r>
          </w:p>
        </w:tc>
        <w:tc>
          <w:tcPr>
            <w:tcW w:type="dxa" w:w="432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Lets members add extra proof when available.</w:t>
            </w:r>
          </w:p>
        </w:tc>
      </w:tr>
    </w:tbl>
    <w:p>
      <w:pPr>
        <w:spacing w:after="40"/>
      </w:pPr>
    </w:p>
    <w:p>
      <w:pPr>
        <w:pStyle w:val="Heading1"/>
        <w:spacing w:before="280" w:after="140"/>
      </w:pPr>
      <w:r>
        <w:rPr>
          <w:color w:val="111318"/>
        </w:rPr>
        <w:t>Working Product Features</w:t>
      </w:r>
    </w:p>
    <w:p>
      <w:pPr>
        <w:pStyle w:val="Heading2"/>
        <w:spacing w:before="180" w:after="140"/>
      </w:pPr>
      <w:r>
        <w:rPr>
          <w:color w:val="111318"/>
        </w:rPr>
        <w:t>Meet and Discovery</w:t>
      </w:r>
    </w:p>
    <w:p>
      <w:pPr>
        <w:spacing w:after="160" w:line="283" w:lineRule="auto"/>
      </w:pPr>
      <w:r>
        <w:t>The Meet flow requests an eligible candidate through the cf_discover_profiles database function. It filters out the current member, undiscoverable profiles, blocked relationships, existing connections, and previously created Meet sessions. A member can review compact profile context before opening a text-first Meet. Opening a Meet uses a trusted database function rather than a direct browser insert.</w:t>
      </w:r>
    </w:p>
    <w:p>
      <w:pPr>
        <w:spacing w:after="160" w:line="283" w:lineRule="auto"/>
      </w:pPr>
      <w:r>
        <w:t>Meet messages are stored in cf_meet_messages and subscribed through Supabase Realtime. Each participant can end the session with Next or privately choose Connect. A connection is created only if both members choose Connect. Choosing Next closes the Meet and does not unlock shared contact information.</w:t>
      </w:r>
    </w:p>
    <w:p>
      <w:pPr>
        <w:pStyle w:val="Heading2"/>
        <w:spacing w:before="180" w:after="140"/>
      </w:pPr>
      <w:r>
        <w:rPr>
          <w:color w:val="111318"/>
        </w:rPr>
        <w:t>Connections and Messaging</w:t>
      </w:r>
    </w:p>
    <w:p>
      <w:pPr>
        <w:spacing w:after="160" w:line="283" w:lineRule="auto"/>
      </w:pPr>
      <w:r>
        <w:t>The Connections page contains only mutual relationships. It loads the other member's public profile context and opens a private message thread when selected. Messages are stored in cf_messages, delivered through Supabase Realtime, and protected by connection-participant policies.</w:t>
      </w:r>
    </w:p>
    <w:p>
      <w:pPr>
        <w:pStyle w:val="Heading2"/>
        <w:spacing w:before="180" w:after="140"/>
      </w:pPr>
      <w:r>
        <w:rPr>
          <w:color w:val="111318"/>
        </w:rPr>
        <w:t>Build Rooms</w:t>
      </w:r>
    </w:p>
    <w:p>
      <w:pPr>
        <w:spacing w:after="160" w:line="283" w:lineRule="auto"/>
      </w:pPr>
      <w:r>
        <w:t>Members can create a personal Build Room with a project name and concise idea. The room owner is automatically added as an owner member. Tasks can be added and marked complete. The data structure also supports membership, milestones, messages, project join requests, and Pro-gated requests even though the current page concentrates on room creation and tasks.</w:t>
      </w:r>
    </w:p>
    <w:p>
      <w:pPr>
        <w:pStyle w:val="Heading2"/>
        <w:spacing w:before="180" w:after="140"/>
      </w:pPr>
      <w:r>
        <w:rPr>
          <w:color w:val="111318"/>
        </w:rPr>
        <w:t>Safety and Privacy</w:t>
      </w:r>
    </w:p>
    <w:p>
      <w:pPr>
        <w:spacing w:after="160" w:line="283" w:lineRule="auto"/>
      </w:pPr>
      <w:r>
        <w:t>A live Meet includes real report and block actions. Reporting writes a private safety record. Blocking writes a relationship block, which removes that person from future discovery. The database policies ensure that private contacts remain available only to the member or a mutual connection when link sharing is enabled.</w:t>
      </w:r>
    </w:p>
    <w:p>
      <w:pPr>
        <w:pStyle w:val="Heading1"/>
        <w:spacing w:before="280" w:after="140"/>
      </w:pPr>
      <w:r>
        <w:rPr>
          <w:color w:val="111318"/>
        </w:rPr>
        <w:t>Data and Security Foundation</w:t>
      </w:r>
    </w:p>
    <w:p>
      <w:pPr>
        <w:spacing w:after="160" w:line="283" w:lineRule="auto"/>
      </w:pPr>
      <w:r>
        <w:t>Supabase Postgres is the application source of truth for the current client flows. The browser uses only the public Supabase URL and anon key. Privileged work is implemented through security-definer database functions and row-level security policies. No service-role key is placed in the browser bundle.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Area</w:t>
            </w:r>
          </w:p>
        </w:tc>
        <w:tc>
          <w:tcPr>
            <w:tcW w:type="dxa" w:w="7416"/>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Implementation</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Identity</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Supabase Auth session with email confirmation required for onboarding completion.</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Profiles</w:t>
            </w:r>
          </w:p>
        </w:tc>
        <w:tc>
          <w:tcPr>
            <w:tcW w:type="dxa" w:w="741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cf_profiles stores public identity, skills, interests, discovery availability, build context, and required demographic fields.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Private contacts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cf_profile_contacts stores LinkedIn, GitHub, optional portfolio, and optional mobile number separately from public profiles.</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Introductions</w:t>
            </w:r>
          </w:p>
        </w:tc>
        <w:tc>
          <w:tcPr>
            <w:tcW w:type="dxa" w:w="741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cf_meet_sessions, cf_meet_messages, cf_connections, and cf_messages represent the Meet to mutual-chat path.</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Collaboration</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cf_projects, members, join requests, tasks, milestones, and project messages provide the Build Room model.</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Safety</w:t>
            </w:r>
          </w:p>
        </w:tc>
        <w:tc>
          <w:tcPr>
            <w:tcW w:type="dxa" w:w="741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cf_blocks and cf_reports support user-controlled safety actions.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Commercial controls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cf_entitlements is prepared for Free and Pro plan checks.</w:t>
            </w:r>
          </w:p>
        </w:tc>
      </w:tr>
      <w:tr>
        <w:trPr>
          <w:cantSplit/>
        </w:trPr>
        <w:tc>
          <w:tcPr>
            <w:tcW w:type="dxa" w:w="237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Live updates</w:t>
            </w:r>
          </w:p>
        </w:tc>
        <w:tc>
          <w:tcPr>
            <w:tcW w:type="dxa" w:w="7416"/>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Meet messages, direct messages, project messages, and notifications are added to the Supabase Realtime publication.</w:t>
            </w:r>
          </w:p>
        </w:tc>
      </w:tr>
    </w:tbl>
    <w:p>
      <w:pPr>
        <w:spacing w:after="40"/>
      </w:pPr>
    </w:p>
    <w:p>
      <w:pPr>
        <w:pStyle w:val="Heading1"/>
        <w:spacing w:before="280" w:after="140"/>
      </w:pPr>
      <w:r>
        <w:rPr>
          <w:color w:val="111318"/>
        </w:rPr>
        <w:t>Database Migrations</w:t>
      </w:r>
    </w:p>
    <w:p>
      <w:pPr>
        <w:spacing w:after="160" w:line="283" w:lineRule="auto"/>
      </w:pPr>
      <w:r>
        <w:t>The migration sequence is designed to be additive and retry-safe. The first migration creates the core CONFLUX tables, trusted functions, indexes, realtime publication entries, and row-level security policies. It was updated so an interrupted SQL Editor run can be rerun without failing on the Meet foreign-key constraint or policies that were created before the interruption.</w:t>
      </w:r>
    </w:p>
    <w:p>
      <w:pPr>
        <w:pStyle w:val="ListBullet"/>
        <w:spacing w:after="60"/>
      </w:pPr>
      <w:r>
        <w:t>202609180001_conflux_production_foundation.sql creates the core application schema and security model.</w:t>
      </w:r>
    </w:p>
    <w:p>
      <w:pPr>
        <w:pStyle w:val="ListBullet"/>
        <w:spacing w:after="60"/>
      </w:pPr>
      <w:r>
        <w:t>202609180002_auth_and_required_profile_details.sql adds interests, date of birth, gender, optional mobile storage, and the cf_complete_onboarding function.</w:t>
      </w:r>
    </w:p>
    <w:p>
      <w:pPr>
        <w:pStyle w:val="ListBullet"/>
        <w:spacing w:after="60"/>
      </w:pPr>
      <w:r>
        <w:t>The onboarding function validates email confirmation, age, required selections, LinkedIn and GitHub URL domains, and complete profile data before it marks onboarding complete.</w:t>
      </w:r>
    </w:p>
    <w:p>
      <w:pPr>
        <w:pStyle w:val="Heading1"/>
        <w:spacing w:before="280" w:after="140"/>
      </w:pPr>
      <w:r>
        <w:rPr>
          <w:color w:val="111318"/>
        </w:rPr>
        <w:t>Deployment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Configuration</w:t>
            </w:r>
          </w:p>
        </w:tc>
        <w:tc>
          <w:tcPr>
            <w:tcW w:type="dxa" w:w="7272"/>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Required setting</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Vercel environment variables</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NEXT_PUBLIC_SUPABASE_URL and NEXT_PUBLIC_SUPABASE_ANON_KEY for the production deployment.</w:t>
            </w:r>
          </w:p>
        </w:tc>
      </w:tr>
      <w:tr>
        <w:trPr>
          <w:cantSplit/>
        </w:trPr>
        <w:tc>
          <w:tcPr>
            <w:tcW w:type="dxa" w:w="252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Supabase Auth Site URL</w:t>
            </w:r>
          </w:p>
        </w:tc>
        <w:tc>
          <w:tcPr>
            <w:tcW w:type="dxa" w:w="7272"/>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https://conflux.site</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Supabase Auth redirect URLs</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https://conflux.site/ and https://www.conflux.site/ when the www domain is used.</w:t>
            </w:r>
          </w:p>
        </w:tc>
      </w:tr>
      <w:tr>
        <w:trPr>
          <w:cantSplit/>
        </w:trPr>
        <w:tc>
          <w:tcPr>
            <w:tcW w:type="dxa" w:w="252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Signup email template</w:t>
            </w:r>
          </w:p>
        </w:tc>
        <w:tc>
          <w:tcPr>
            <w:tcW w:type="dxa" w:w="7272"/>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Keep email confirmation enabled and include {{ .Token }} in the Confirm signup email template for six-digit OTP verification.</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Database</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Apply the two migrations in timestamp order after reviewing them against the live schema.</w:t>
            </w:r>
          </w:p>
        </w:tc>
      </w:tr>
      <w:tr>
        <w:trPr>
          <w:cantSplit/>
        </w:trPr>
        <w:tc>
          <w:tcPr>
            <w:tcW w:type="dxa" w:w="252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Vercel deployment</w:t>
            </w:r>
          </w:p>
        </w:tc>
        <w:tc>
          <w:tcPr>
            <w:tcW w:type="dxa" w:w="7272"/>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Redeploy after changing public environment variables so the browser build receives them.</w:t>
            </w:r>
          </w:p>
        </w:tc>
      </w:tr>
    </w:tbl>
    <w:p>
      <w:pPr>
        <w:spacing w:after="40"/>
      </w:pPr>
    </w:p>
    <w:p>
      <w:pPr>
        <w:pStyle w:val="Heading1"/>
        <w:spacing w:before="280" w:after="140"/>
      </w:pPr>
      <w:r>
        <w:rPr>
          <w:color w:val="111318"/>
        </w:rPr>
        <w:t>Provider Work Still Required</w:t>
      </w:r>
    </w:p>
    <w:p>
      <w:pPr>
        <w:spacing w:after="160" w:line="283" w:lineRule="auto"/>
      </w:pPr>
      <w:r>
        <w:t>The build does not claim that provider-dependent features are complete when their external credentials or server-side configuration are absent. LinkedIn and GitHub URLs are required and stored, but OAuth proof verification has not been connected to provider APIs. Pro entitlements are modeled in the database, but checkout, payment webhooks, and entitlement synchronization still require a billing provider. Voice, video, and screen sharing require a signaling service, TURN configuration, consent controls, and browser media testing before they should be exposed as live collaboration features.</w:t>
      </w:r>
    </w:p>
    <w:p>
      <w:pPr>
        <w:pStyle w:val="Heading1"/>
        <w:spacing w:before="280" w:after="140"/>
      </w:pPr>
      <w:r>
        <w:rPr>
          <w:color w:val="111318"/>
        </w:rPr>
        <w:t>Implementation Record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Commit</w:t>
            </w:r>
          </w:p>
        </w:tc>
        <w:tc>
          <w:tcPr>
            <w:tcW w:type="dxa" w:w="7992"/>
            <w:shd w:fill="11131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Change</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b5222bd</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Added the Supabase production foundation, realtime product UI, safety actions, and deployment guidance.</w:t>
            </w:r>
          </w:p>
        </w:tc>
      </w:tr>
      <w:tr>
        <w:trPr>
          <w:cantSplit/>
        </w:trPr>
        <w:tc>
          <w:tcPr>
            <w:tcW w:type="dxa" w:w="180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52e6fa7</w:t>
            </w:r>
          </w:p>
        </w:tc>
        <w:tc>
          <w:tcPr>
            <w:tcW w:type="dxa" w:w="7992"/>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Made the Meet connection foreign-key setup retry-safe.</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0646e37</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Made row-level security policy setup retry-safe after partial SQL Editor runs.</w:t>
            </w:r>
          </w:p>
        </w:tc>
      </w:tr>
      <w:tr>
        <w:trPr>
          <w:cantSplit/>
        </w:trPr>
        <w:tc>
          <w:tcPr>
            <w:tcW w:type="dxa" w:w="1800"/>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4874a81</w:t>
            </w:r>
          </w:p>
        </w:tc>
        <w:tc>
          <w:tcPr>
            <w:tcW w:type="dxa" w:w="7992"/>
            <w:shd w:fill="F7F7F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111318"/>
                <w:sz w:val="17"/>
              </w:rPr>
              <w:t>Added route-based landing, sign in, OTP registration, required onboarding, and the second profile migration.</w:t>
            </w:r>
          </w:p>
        </w:tc>
      </w:tr>
    </w:tbl>
    <w:p>
      <w:pPr>
        <w:spacing w:after="40"/>
      </w:pPr>
    </w:p>
    <w:p>
      <w:pPr>
        <w:pStyle w:val="Heading1"/>
        <w:spacing w:before="280" w:after="140"/>
      </w:pPr>
      <w:r>
        <w:rPr>
          <w:color w:val="111318"/>
        </w:rPr>
        <w:t>Current Completion Summary</w:t>
      </w:r>
    </w:p>
    <w:p>
      <w:pPr>
        <w:spacing w:after="160" w:line="283" w:lineRule="auto"/>
      </w:pPr>
      <w:r>
        <w:t>The repository now contains a functioning public landing experience, routed authentication and onboarding screens, a protected Supabase data model, real-time text Meet and private connection messaging paths, Build Room and task management, profile controls, and user safety actions. The application is ready for its database migrations and Supabase Auth OTP configuration to be applied in the production project. After those configuration steps and a Vercel deployment, the browser can use actual accounts and actual application data instead of demo fallbacks.</w:t>
      </w:r>
    </w:p>
    <w:sectPr w:rsidR="00FC693F" w:rsidRPr="0006063C" w:rsidSect="00034616">
      <w:footerReference w:type="default" r:id="rId9"/>
      <w:pgSz w:w="12240" w:h="15840"/>
      <w:pgMar w:top="893"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55F"/>
        <w:sz w:val="16"/>
      </w:rPr>
      <w:t>CONFLUX Product Build Handover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31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31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1131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